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0F62" w14:textId="7C0C7E1F" w:rsidR="00EE1BE7" w:rsidRPr="00D745A0" w:rsidRDefault="00EE1BE7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ind w:left="5040" w:firstLine="720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Raciąż, dnia 7 października 2025 r.</w:t>
      </w:r>
    </w:p>
    <w:p w14:paraId="1D230E20" w14:textId="68E3C856" w:rsidR="00EE1BE7" w:rsidRPr="00D745A0" w:rsidRDefault="00EE1BE7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KM.6840.</w:t>
      </w:r>
      <w:r w:rsidR="00C30FB5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5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.2025.ISE</w:t>
      </w:r>
    </w:p>
    <w:p w14:paraId="3B2ED5F6" w14:textId="736EFD5C" w:rsidR="00AC4289" w:rsidRPr="00BB00C3" w:rsidRDefault="00AC4289" w:rsidP="00BB00C3">
      <w:pPr>
        <w:widowControl w:val="0"/>
        <w:numPr>
          <w:ilvl w:val="12"/>
          <w:numId w:val="0"/>
        </w:numPr>
        <w:autoSpaceDE w:val="0"/>
        <w:autoSpaceDN w:val="0"/>
        <w:spacing w:before="480" w:after="240"/>
        <w:jc w:val="center"/>
        <w:rPr>
          <w:rFonts w:ascii="Century Gothic" w:eastAsia="Times New Roman" w:hAnsi="Century Gothic" w:cs="Times New Roman"/>
          <w:b/>
          <w:bCs/>
          <w:spacing w:val="20"/>
          <w:sz w:val="24"/>
          <w:szCs w:val="24"/>
          <w:lang w:val="pl-PL" w:eastAsia="pl-PL"/>
        </w:rPr>
      </w:pPr>
      <w:r w:rsidRPr="00BB00C3">
        <w:rPr>
          <w:rFonts w:ascii="Century Gothic" w:eastAsia="Times New Roman" w:hAnsi="Century Gothic" w:cs="Times New Roman"/>
          <w:b/>
          <w:bCs/>
          <w:spacing w:val="20"/>
          <w:sz w:val="24"/>
          <w:szCs w:val="24"/>
          <w:lang w:val="pl-PL" w:eastAsia="pl-PL"/>
        </w:rPr>
        <w:t>OGŁOSZENIE</w:t>
      </w:r>
    </w:p>
    <w:p w14:paraId="5F0E8022" w14:textId="6DA7B09D" w:rsidR="00C10068" w:rsidRPr="00D745A0" w:rsidRDefault="00C10068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 podstawie art. 37, art. 38 ust. 1, art. 40, art. 41 i art. 70 ustawy z dnia 21 sierpnia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1997 r. o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gospodarce nieruchomościami (Dz.U. z 2024 r., poz. 1145 ze zm.), rozporządzenia Rady Ministrów z dnia 14 września 2004 r. w sprawie sposobu i trybu przeprowadzania przetargów oraz rokowań na zbycie nieruchomości (Dz.U. z 2021 r., poz. 2213) oraz Uchwały Rady Mi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ejskiej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Raciążu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Nr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VII/66/2025 z dnia 26 marca 2025 r.</w:t>
      </w:r>
      <w:r w:rsidR="00BE70AF" w:rsidRPr="00D745A0">
        <w:rPr>
          <w:rFonts w:ascii="Century Gothic" w:eastAsia="Times New Roman" w:hAnsi="Century Gothic" w:cs="Times New Roman"/>
          <w:i/>
          <w:iCs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w sprawie wyrażenia zgody na 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zbycie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nieruchomości gruntowej,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niezabudowanej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stanowiącej własność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Gminy Miasto Raciąż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</w:t>
      </w:r>
    </w:p>
    <w:p w14:paraId="0BB7C7A3" w14:textId="77777777" w:rsidR="00BE70AF" w:rsidRPr="00D745A0" w:rsidRDefault="00EB08EF" w:rsidP="00BB00C3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BURMISTRZ MIASTA RACIĄŻ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>A</w:t>
      </w: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OGŁASZA I USTNY PRZETARG OGRANICZONY</w:t>
      </w:r>
    </w:p>
    <w:p w14:paraId="7286D5CD" w14:textId="57B667C5" w:rsidR="00BE70AF" w:rsidRPr="00D745A0" w:rsidRDefault="00EB08EF" w:rsidP="00BB00C3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NA SPRZEDAŻ NIERUCHOMOŚCI GRUNTOWEJ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NIEZABUDOWANEJ</w:t>
      </w:r>
    </w:p>
    <w:p w14:paraId="74BC157E" w14:textId="77777777" w:rsidR="00BE70AF" w:rsidRPr="00D745A0" w:rsidRDefault="00EB08EF" w:rsidP="00BB00C3">
      <w:pPr>
        <w:spacing w:after="120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STANOWIĄCEJ WŁASNOŚĆ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GMINY MIASTO RACIĄŻ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1627"/>
        <w:gridCol w:w="1420"/>
        <w:gridCol w:w="1715"/>
        <w:gridCol w:w="1421"/>
        <w:gridCol w:w="1166"/>
        <w:gridCol w:w="1157"/>
      </w:tblGrid>
      <w:tr w:rsidR="00BE70AF" w:rsidRPr="00D745A0" w14:paraId="15475854" w14:textId="77777777" w:rsidTr="005C4B7E">
        <w:trPr>
          <w:cantSplit/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1B00" w14:textId="0C941968" w:rsidR="00BE70AF" w:rsidRPr="00D745A0" w:rsidRDefault="00BE70AF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6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 xml:space="preserve">Nr </w:t>
            </w:r>
            <w:r w:rsidR="005C4B7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 xml:space="preserve">ewid. 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działki</w:t>
            </w:r>
          </w:p>
          <w:p w14:paraId="4B35A76A" w14:textId="36C23BCE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w obr.</w:t>
            </w:r>
          </w:p>
          <w:p w14:paraId="6464743C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FCC2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Położenie nieruchomości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8BF3" w14:textId="289F6F7E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Powierzchnia</w:t>
            </w:r>
          </w:p>
          <w:p w14:paraId="4E81AB4A" w14:textId="77777777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nieruchomości</w:t>
            </w:r>
          </w:p>
          <w:p w14:paraId="74AE5C32" w14:textId="10EEDDDE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(m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vertAlign w:val="superscript"/>
                <w:lang w:val="pl-PL" w:eastAsia="pl-PL"/>
              </w:rPr>
              <w:t>2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DAB4" w14:textId="77777777" w:rsidR="00BE70AF" w:rsidRPr="00D745A0" w:rsidRDefault="00BE70AF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5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Numer Księgi Wieczystej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24FF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Cena wywoławcza</w:t>
            </w:r>
          </w:p>
          <w:p w14:paraId="242A4346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  <w:r w:rsidRPr="00D745A0">
              <w:rPr>
                <w:rStyle w:val="Odwoanieprzypisudolnego"/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footnoteReference w:id="1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98FE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Wysokość wadium</w:t>
            </w:r>
          </w:p>
          <w:p w14:paraId="681ED919" w14:textId="1775EE61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B9171" w14:textId="0784FDE8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Postąpienie</w:t>
            </w:r>
          </w:p>
          <w:p w14:paraId="36592759" w14:textId="2246CB38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</w:p>
        </w:tc>
      </w:tr>
      <w:tr w:rsidR="00BE70AF" w:rsidRPr="00D745A0" w14:paraId="39173AE0" w14:textId="77777777" w:rsidTr="005C4B7E">
        <w:trPr>
          <w:cantSplit/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AE693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1128/2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60282F" w14:textId="71964D46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Raciąż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684F" w14:textId="77777777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931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705F40" w14:textId="77777777" w:rsidR="00BE70AF" w:rsidRPr="00D745A0" w:rsidRDefault="00BE70AF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5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PL1L/00001641/3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DD874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76 260,00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72E4D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7 626,00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A12F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color w:val="EE0000"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770,00</w:t>
            </w:r>
          </w:p>
        </w:tc>
      </w:tr>
    </w:tbl>
    <w:p w14:paraId="2641C100" w14:textId="632099E0" w:rsidR="00EB08EF" w:rsidRPr="00D745A0" w:rsidRDefault="00EB08EF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</w:p>
    <w:p w14:paraId="5F181980" w14:textId="1C5AE99C" w:rsidR="000F1293" w:rsidRPr="00D745A0" w:rsidRDefault="005D6C99" w:rsidP="00BB00C3">
      <w:pPr>
        <w:pStyle w:val="Akapitzlist"/>
        <w:numPr>
          <w:ilvl w:val="0"/>
          <w:numId w:val="39"/>
        </w:numPr>
        <w:spacing w:after="0"/>
        <w:ind w:left="0"/>
        <w:rPr>
          <w:rFonts w:ascii="Century Gothic" w:hAnsi="Century Gothic" w:cs="Times New Roman"/>
          <w:sz w:val="20"/>
          <w:szCs w:val="20"/>
          <w:lang w:val="pl-PL"/>
        </w:rPr>
      </w:pPr>
      <w:r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O</w:t>
      </w:r>
      <w:r w:rsidR="002023CD"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pis nieruchomości</w:t>
      </w:r>
      <w:r w:rsidR="00D745A0"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.</w:t>
      </w:r>
    </w:p>
    <w:p w14:paraId="247C8097" w14:textId="23CD76FF" w:rsidR="006104D5" w:rsidRPr="00D745A0" w:rsidRDefault="006104D5" w:rsidP="00BB00C3">
      <w:pPr>
        <w:pStyle w:val="NormalnyWeb"/>
        <w:spacing w:before="0" w:beforeAutospacing="0" w:after="120" w:afterAutospacing="0" w:line="276" w:lineRule="auto"/>
        <w:jc w:val="both"/>
        <w:rPr>
          <w:rStyle w:val="fadeinm1hgl8"/>
          <w:rFonts w:ascii="Century Gothic" w:hAnsi="Century Gothic"/>
          <w:sz w:val="20"/>
          <w:szCs w:val="20"/>
        </w:rPr>
      </w:pPr>
      <w:r w:rsidRPr="00D745A0">
        <w:rPr>
          <w:rStyle w:val="fadeinm1hgl8"/>
          <w:rFonts w:ascii="Century Gothic" w:hAnsi="Century Gothic"/>
          <w:sz w:val="20"/>
          <w:szCs w:val="20"/>
        </w:rPr>
        <w:t>Działka położona jest w strefie pośredniej miasta Raciąż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>a</w:t>
      </w:r>
      <w:r w:rsidRPr="00D745A0">
        <w:rPr>
          <w:rStyle w:val="fadeinm1hgl8"/>
          <w:rFonts w:ascii="Century Gothic" w:hAnsi="Century Gothic"/>
          <w:sz w:val="20"/>
          <w:szCs w:val="20"/>
        </w:rPr>
        <w:t>, które liczy około 4 tysiące mieszkańców i zlokalizowane jest w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 xml:space="preserve"> północno-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zachodniej części województwa mazowieckiego. Miasto leży </w:t>
      </w:r>
      <w:r w:rsidR="00B96BF9" w:rsidRPr="00D745A0">
        <w:rPr>
          <w:rStyle w:val="fadeinm1hgl8"/>
          <w:rFonts w:ascii="Century Gothic" w:hAnsi="Century Gothic"/>
          <w:sz w:val="20"/>
          <w:szCs w:val="20"/>
        </w:rPr>
        <w:br/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w powiecie płońskim, w pobliżu ważnych szlaków </w:t>
      </w:r>
      <w:r w:rsidR="00C47E8D" w:rsidRPr="00D745A0">
        <w:rPr>
          <w:rStyle w:val="fadeinm1hgl8"/>
          <w:rFonts w:ascii="Century Gothic" w:hAnsi="Century Gothic"/>
          <w:sz w:val="20"/>
          <w:szCs w:val="20"/>
        </w:rPr>
        <w:t>komunikacyjnych, w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 bezpośrednim sąsiedztwie drogi</w:t>
      </w:r>
      <w:r w:rsidR="00E35773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Ciechanów – Płock. Połączenia komunikacyjne</w:t>
      </w:r>
      <w:r w:rsidR="00C47E8D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w mieście stanowią drogi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 xml:space="preserve"> gminne</w:t>
      </w:r>
      <w:r w:rsidR="00B96BF9" w:rsidRPr="00D745A0">
        <w:rPr>
          <w:rStyle w:val="fadeinm1hgl8"/>
          <w:rFonts w:ascii="Century Gothic" w:hAnsi="Century Gothic"/>
          <w:sz w:val="20"/>
          <w:szCs w:val="20"/>
        </w:rPr>
        <w:br/>
      </w:r>
      <w:r w:rsidRPr="00D745A0">
        <w:rPr>
          <w:rStyle w:val="fadeinm1hgl8"/>
          <w:rFonts w:ascii="Century Gothic" w:hAnsi="Century Gothic"/>
          <w:sz w:val="20"/>
          <w:szCs w:val="20"/>
        </w:rPr>
        <w:t>i powiatowe o nawierzchni asfaltowej.</w:t>
      </w:r>
      <w:r w:rsidR="00E35773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Działka nr 1128/2 posiada regularny kształt, jest niezabudowana, zlokalizowana na terenie płaskim.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W bezpośrednim sąsiedztwie nieruchomości zlokalizowane są działki zabudowane budynkami mieszkalnymi jednorodzinnymi z dopuszczalną funkcją usługową, a także park miejski, co korzystnie wpływa na atrakcyjność lokalizacji działki.</w:t>
      </w:r>
      <w:r w:rsidR="00E35773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Działka nr 1128/2 nie posiada</w:t>
      </w:r>
      <w:r w:rsidR="00214689" w:rsidRPr="00D745A0">
        <w:rPr>
          <w:rStyle w:val="fadeinm1hgl8"/>
          <w:rFonts w:ascii="Century Gothic" w:hAnsi="Century Gothic"/>
          <w:sz w:val="20"/>
          <w:szCs w:val="20"/>
        </w:rPr>
        <w:t xml:space="preserve"> dostępu do drogi publicznej.</w:t>
      </w:r>
      <w:r w:rsidR="00BE70AF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Na działce nie znajduje się żadna zabudowa kubaturowa. Istnieje możliwość uzbrojenia nieruchomości </w:t>
      </w:r>
      <w:r w:rsidR="00D745A0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w podstawową infrastrukturę techniczną, w tym: energię elektryczną z sieci niskiego napięcia (nN) oraz kanalizację sanitarną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>.</w:t>
      </w:r>
    </w:p>
    <w:p w14:paraId="4594B0A8" w14:textId="66C0B865" w:rsidR="00631FCC" w:rsidRPr="00D745A0" w:rsidRDefault="00631FCC" w:rsidP="00BB00C3">
      <w:pPr>
        <w:pStyle w:val="Akapitzlist"/>
        <w:numPr>
          <w:ilvl w:val="0"/>
          <w:numId w:val="39"/>
        </w:numPr>
        <w:spacing w:after="0"/>
        <w:ind w:left="0"/>
        <w:rPr>
          <w:rStyle w:val="fadeinm1hgl8"/>
          <w:rFonts w:ascii="Century Gothic" w:hAnsi="Century Gothic"/>
          <w:sz w:val="20"/>
          <w:szCs w:val="20"/>
          <w:lang w:val="pl-PL"/>
        </w:rPr>
      </w:pPr>
      <w:r w:rsidRPr="00D745A0">
        <w:rPr>
          <w:rStyle w:val="fadeinm1hgl8"/>
          <w:rFonts w:ascii="Century Gothic" w:hAnsi="Century Gothic"/>
          <w:b/>
          <w:bCs/>
          <w:sz w:val="20"/>
          <w:szCs w:val="20"/>
          <w:lang w:val="pl-PL"/>
        </w:rPr>
        <w:t>Przeznaczenie w miejscowym planie zagospodarowania przestrzennego</w:t>
      </w:r>
      <w:r w:rsidR="00D745A0" w:rsidRPr="00D745A0">
        <w:rPr>
          <w:rStyle w:val="fadeinm1hgl8"/>
          <w:rFonts w:ascii="Century Gothic" w:hAnsi="Century Gothic"/>
          <w:b/>
          <w:bCs/>
          <w:sz w:val="20"/>
          <w:szCs w:val="20"/>
          <w:lang w:val="pl-PL"/>
        </w:rPr>
        <w:t>.</w:t>
      </w:r>
    </w:p>
    <w:p w14:paraId="64C4FA14" w14:textId="3C19643B" w:rsidR="00A6539F" w:rsidRPr="00D745A0" w:rsidRDefault="00A6539F" w:rsidP="00BB00C3">
      <w:pPr>
        <w:spacing w:after="120"/>
        <w:jc w:val="both"/>
        <w:rPr>
          <w:rFonts w:ascii="Century Gothic" w:hAnsi="Century Gothic" w:cs="Times New Roman"/>
          <w:sz w:val="20"/>
          <w:szCs w:val="20"/>
          <w:lang w:val="pl-PL"/>
        </w:rPr>
      </w:pPr>
      <w:r w:rsidRPr="00D745A0">
        <w:rPr>
          <w:rFonts w:ascii="Century Gothic" w:hAnsi="Century Gothic" w:cs="Times New Roman"/>
          <w:sz w:val="20"/>
          <w:szCs w:val="20"/>
          <w:lang w:val="pl-PL"/>
        </w:rPr>
        <w:t>Działka nie jest objęta Miejscowym Planem Zagospodarowania Przestrzennego Miasta Raciąż. Zgodnie z Uchwałą Nr XXXVI/325/2023 Rady Miejskiej w Raciążu z dnia 30 stycznia 2023 roku</w:t>
      </w:r>
      <w:r w:rsidR="00B96BF9" w:rsidRPr="00D745A0">
        <w:rPr>
          <w:rFonts w:ascii="Century Gothic" w:hAnsi="Century Gothic" w:cs="Times New Roman"/>
          <w:sz w:val="20"/>
          <w:szCs w:val="20"/>
          <w:lang w:val="pl-PL"/>
        </w:rPr>
        <w:br/>
      </w:r>
      <w:r w:rsidRPr="00D745A0">
        <w:rPr>
          <w:rFonts w:ascii="Century Gothic" w:hAnsi="Century Gothic" w:cs="Times New Roman"/>
          <w:sz w:val="20"/>
          <w:szCs w:val="20"/>
          <w:lang w:val="pl-PL"/>
        </w:rPr>
        <w:t xml:space="preserve"> w sprawie studium uwarunkowań </w:t>
      </w:r>
      <w:r w:rsidR="00CB0F5F" w:rsidRPr="00D745A0">
        <w:rPr>
          <w:rFonts w:ascii="Century Gothic" w:hAnsi="Century Gothic" w:cs="Times New Roman"/>
          <w:sz w:val="20"/>
          <w:szCs w:val="20"/>
          <w:lang w:val="pl-PL"/>
        </w:rPr>
        <w:t>i</w:t>
      </w:r>
      <w:r w:rsidRPr="00D745A0">
        <w:rPr>
          <w:rFonts w:ascii="Century Gothic" w:hAnsi="Century Gothic" w:cs="Times New Roman"/>
          <w:sz w:val="20"/>
          <w:szCs w:val="20"/>
          <w:lang w:val="pl-PL"/>
        </w:rPr>
        <w:t xml:space="preserve"> kierunków zagospodarowania przestrzennego Miasta Raciąża, działka znajduje się na terenie MN oznaczonym jako tereny zabudowy mieszkaniowej jednorodzinnej. Teren działki jest w granicach obszaru rewitalizacji stosownie do Uchwały Nr XL/328/2018 Rady Miejskiej w Raciążu z dnia 13 sierpnia 2018 roku w sprawie wyznaczenia obszarów zdegradowanych</w:t>
      </w:r>
      <w:r w:rsidR="00A5410F" w:rsidRPr="00D745A0">
        <w:rPr>
          <w:rFonts w:ascii="Century Gothic" w:hAnsi="Century Gothic" w:cs="Times New Roman"/>
          <w:sz w:val="20"/>
          <w:szCs w:val="20"/>
          <w:lang w:val="pl-PL"/>
        </w:rPr>
        <w:t xml:space="preserve"> </w:t>
      </w:r>
      <w:r w:rsidR="000D134B" w:rsidRPr="00D745A0">
        <w:rPr>
          <w:rFonts w:ascii="Century Gothic" w:hAnsi="Century Gothic" w:cs="Times New Roman"/>
          <w:sz w:val="20"/>
          <w:szCs w:val="20"/>
          <w:lang w:val="pl-PL"/>
        </w:rPr>
        <w:t>i</w:t>
      </w:r>
      <w:r w:rsidR="00A5410F" w:rsidRPr="00D745A0">
        <w:rPr>
          <w:rFonts w:ascii="Century Gothic" w:hAnsi="Century Gothic" w:cs="Times New Roman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 w:cs="Times New Roman"/>
          <w:sz w:val="20"/>
          <w:szCs w:val="20"/>
          <w:lang w:val="pl-PL"/>
        </w:rPr>
        <w:t xml:space="preserve">obszarów rewitalizacji. Dla przedmiotowej działki nie ustalono </w:t>
      </w:r>
      <w:r w:rsidR="00B96BF9" w:rsidRPr="00D745A0">
        <w:rPr>
          <w:rFonts w:ascii="Century Gothic" w:hAnsi="Century Gothic" w:cs="Times New Roman"/>
          <w:sz w:val="20"/>
          <w:szCs w:val="20"/>
          <w:lang w:val="pl-PL"/>
        </w:rPr>
        <w:br/>
      </w:r>
      <w:r w:rsidRPr="00D745A0">
        <w:rPr>
          <w:rFonts w:ascii="Century Gothic" w:hAnsi="Century Gothic" w:cs="Times New Roman"/>
          <w:sz w:val="20"/>
          <w:szCs w:val="20"/>
          <w:lang w:val="pl-PL"/>
        </w:rPr>
        <w:t>w drodze decyzji</w:t>
      </w:r>
      <w:r w:rsidR="00A5410F" w:rsidRPr="00D745A0">
        <w:rPr>
          <w:rFonts w:ascii="Century Gothic" w:hAnsi="Century Gothic" w:cs="Times New Roman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 w:cs="Times New Roman"/>
          <w:sz w:val="20"/>
          <w:szCs w:val="20"/>
          <w:lang w:val="pl-PL"/>
        </w:rPr>
        <w:t xml:space="preserve">warunków zabudowy lub lokalizacji inwestycji celu publicznego. </w:t>
      </w:r>
    </w:p>
    <w:p w14:paraId="7A36E961" w14:textId="166C5B88" w:rsidR="00A5410F" w:rsidRPr="00D745A0" w:rsidRDefault="005D6C99" w:rsidP="00BB00C3">
      <w:pPr>
        <w:pStyle w:val="Akapitzlist"/>
        <w:numPr>
          <w:ilvl w:val="0"/>
          <w:numId w:val="39"/>
        </w:numPr>
        <w:spacing w:after="0"/>
        <w:ind w:left="0"/>
        <w:rPr>
          <w:rFonts w:ascii="Century Gothic" w:hAnsi="Century Gothic" w:cs="Times New Roman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lastRenderedPageBreak/>
        <w:t>Uzasadnienie wyboru</w:t>
      </w:r>
      <w:r w:rsid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 xml:space="preserve"> formy</w:t>
      </w:r>
      <w:r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 xml:space="preserve"> przetargu</w:t>
      </w:r>
      <w:r w:rsid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.</w:t>
      </w:r>
    </w:p>
    <w:p w14:paraId="160AFB5E" w14:textId="29ED6751" w:rsidR="00D745A0" w:rsidRPr="00D745A0" w:rsidRDefault="00DA3668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Fonts w:ascii="Century Gothic" w:hAnsi="Century Gothic"/>
          <w:sz w:val="20"/>
          <w:szCs w:val="20"/>
          <w:lang w:val="pl-PL"/>
        </w:rPr>
        <w:t xml:space="preserve">Wybór </w:t>
      </w: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przetargu ustnego ograniczonego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jako formy zbycia przedmiotowej niezabudowanej nieruchomości podyktowany jest </w:t>
      </w: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koniecznością zapewnienia racjonalnego i efektywnego zagospodarowania gruntu</w:t>
      </w:r>
      <w:r w:rsidRPr="00D745A0">
        <w:rPr>
          <w:rFonts w:ascii="Century Gothic" w:hAnsi="Century Gothic"/>
          <w:sz w:val="20"/>
          <w:szCs w:val="20"/>
          <w:lang w:val="pl-PL"/>
        </w:rPr>
        <w:t>.</w:t>
      </w:r>
    </w:p>
    <w:p w14:paraId="4350CDFA" w14:textId="7A3E231D" w:rsidR="00D745A0" w:rsidRDefault="00D745A0" w:rsidP="00BB00C3">
      <w:pPr>
        <w:pStyle w:val="Akapitzlist"/>
        <w:numPr>
          <w:ilvl w:val="0"/>
          <w:numId w:val="39"/>
        </w:numPr>
        <w:spacing w:after="0"/>
        <w:ind w:left="0"/>
        <w:rPr>
          <w:rFonts w:ascii="Century Gothic" w:hAnsi="Century Gothic"/>
          <w:b/>
          <w:bCs/>
          <w:sz w:val="20"/>
          <w:szCs w:val="20"/>
          <w:lang w:val="pl-PL"/>
        </w:rPr>
      </w:pPr>
      <w:r>
        <w:rPr>
          <w:rFonts w:ascii="Century Gothic" w:hAnsi="Century Gothic"/>
          <w:b/>
          <w:bCs/>
          <w:sz w:val="20"/>
          <w:szCs w:val="20"/>
          <w:lang w:val="pl-PL"/>
        </w:rPr>
        <w:t>Osoby uprawnione do uczestnictwa w przetargu.</w:t>
      </w:r>
    </w:p>
    <w:p w14:paraId="3366B410" w14:textId="06B0AFB1" w:rsidR="009B2E65" w:rsidRPr="00D745A0" w:rsidRDefault="009B2E65" w:rsidP="00BB00C3">
      <w:pPr>
        <w:pStyle w:val="Akapitzlist"/>
        <w:spacing w:after="0"/>
        <w:ind w:left="0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Fonts w:ascii="Century Gothic" w:hAnsi="Century Gothic"/>
          <w:sz w:val="20"/>
          <w:szCs w:val="20"/>
          <w:lang w:val="pl-PL"/>
        </w:rPr>
        <w:t>W przetargu mogą</w:t>
      </w:r>
      <w:r w:rsidR="00943E78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/>
          <w:sz w:val="20"/>
          <w:szCs w:val="20"/>
          <w:lang w:val="pl-PL"/>
        </w:rPr>
        <w:t>wziąć</w:t>
      </w:r>
      <w:r w:rsidR="00943E78" w:rsidRPr="00D745A0">
        <w:rPr>
          <w:rFonts w:ascii="Century Gothic" w:hAnsi="Century Gothic"/>
          <w:sz w:val="20"/>
          <w:szCs w:val="20"/>
          <w:lang w:val="pl-PL"/>
        </w:rPr>
        <w:t xml:space="preserve"> udział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właściciele lub użytkownicy wieczyści działek przyległych.</w:t>
      </w:r>
    </w:p>
    <w:p w14:paraId="23A4FA2B" w14:textId="44B90609" w:rsidR="00DA3668" w:rsidRPr="00D745A0" w:rsidRDefault="00DA3668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Ograniczenie kręgu oferentów</w:t>
      </w:r>
      <w:r w:rsidRPr="00D745A0">
        <w:rPr>
          <w:rFonts w:ascii="Century Gothic" w:hAnsi="Century Gothic"/>
          <w:sz w:val="20"/>
          <w:szCs w:val="20"/>
          <w:lang w:val="pl-PL"/>
        </w:rPr>
        <w:t>, wynika z uwarunkowań lokalizacyjnych i przestrzennych</w:t>
      </w:r>
      <w:r w:rsidR="009B2E65" w:rsidRPr="00D745A0">
        <w:rPr>
          <w:rFonts w:ascii="Century Gothic" w:hAnsi="Century Gothic"/>
          <w:sz w:val="20"/>
          <w:szCs w:val="20"/>
          <w:lang w:val="pl-PL"/>
        </w:rPr>
        <w:t>,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działka może być wykorzystana</w:t>
      </w:r>
      <w:r w:rsidR="00214689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/>
          <w:sz w:val="20"/>
          <w:szCs w:val="20"/>
          <w:lang w:val="pl-PL"/>
        </w:rPr>
        <w:t>na powiększenie istniejących działek sąsiednich</w:t>
      </w:r>
      <w:r w:rsidR="003611DC" w:rsidRPr="00D745A0">
        <w:rPr>
          <w:rFonts w:ascii="Century Gothic" w:hAnsi="Century Gothic"/>
          <w:sz w:val="20"/>
          <w:szCs w:val="20"/>
          <w:lang w:val="pl-PL"/>
        </w:rPr>
        <w:t>.</w:t>
      </w:r>
    </w:p>
    <w:p w14:paraId="4C02EB70" w14:textId="2B8C59C5" w:rsidR="00F02AA9" w:rsidRPr="00D745A0" w:rsidRDefault="00F02AA9" w:rsidP="00BB00C3">
      <w:pPr>
        <w:widowControl w:val="0"/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Działka nr 1128/2 z obr. 0233 graniczy z nw. działkami:</w:t>
      </w:r>
    </w:p>
    <w:p w14:paraId="270EFB76" w14:textId="617D95E9" w:rsidR="00F02AA9" w:rsidRPr="00D745A0" w:rsidRDefault="00F02AA9" w:rsidP="00BB00C3">
      <w:pPr>
        <w:widowControl w:val="0"/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- dz. nr 1128/1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z obr. 0233 </w:t>
      </w:r>
    </w:p>
    <w:p w14:paraId="04D19432" w14:textId="128ED003" w:rsidR="00F02AA9" w:rsidRPr="00D745A0" w:rsidRDefault="00F02AA9" w:rsidP="00BB00C3">
      <w:pPr>
        <w:widowControl w:val="0"/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- dz. nr 1125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z obr. 0233</w:t>
      </w:r>
    </w:p>
    <w:p w14:paraId="772EE9B9" w14:textId="5FAAB02F" w:rsidR="00F02AA9" w:rsidRPr="00D745A0" w:rsidRDefault="00F02AA9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- dz. nr 1129 z obr. 0233 </w:t>
      </w:r>
    </w:p>
    <w:p w14:paraId="457A4430" w14:textId="24CD9915" w:rsidR="00D745A0" w:rsidRPr="00D745A0" w:rsidRDefault="00D745A0" w:rsidP="00BB00C3">
      <w:pPr>
        <w:pStyle w:val="Akapitzlist"/>
        <w:numPr>
          <w:ilvl w:val="0"/>
          <w:numId w:val="39"/>
        </w:numPr>
        <w:spacing w:after="0"/>
        <w:ind w:left="0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Termin przetargu.</w:t>
      </w:r>
    </w:p>
    <w:p w14:paraId="5F5C719A" w14:textId="2E95D788" w:rsidR="002E335F" w:rsidRPr="00D745A0" w:rsidRDefault="002E335F" w:rsidP="00BB00C3">
      <w:pPr>
        <w:pStyle w:val="Akapitzlist"/>
        <w:spacing w:after="0"/>
        <w:ind w:left="0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Przetarg odbędzie się w dniu</w:t>
      </w:r>
      <w:r w:rsidR="0036010A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 xml:space="preserve"> </w:t>
      </w:r>
      <w:r w:rsidR="00E5406E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17</w:t>
      </w:r>
      <w:r w:rsidR="0036010A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.</w:t>
      </w:r>
      <w:r w:rsidR="008A07AB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11</w:t>
      </w:r>
      <w:r w:rsidR="0036010A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.2025</w:t>
      </w:r>
      <w:r w:rsidR="00E5406E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 xml:space="preserve"> r., </w:t>
      </w:r>
      <w:r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o godzinie</w:t>
      </w:r>
      <w:r w:rsidR="0036010A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 xml:space="preserve"> 1</w:t>
      </w:r>
      <w:r w:rsidR="00E5406E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0</w:t>
      </w:r>
      <w:r w:rsidR="0036010A" w:rsidRPr="00D745A0">
        <w:rPr>
          <w:rFonts w:ascii="Century Gothic" w:hAnsi="Century Gothic"/>
          <w:b/>
          <w:bCs/>
          <w:sz w:val="20"/>
          <w:szCs w:val="20"/>
          <w:u w:val="single"/>
          <w:lang w:val="pl-PL"/>
        </w:rPr>
        <w:t>.00</w:t>
      </w:r>
      <w:r w:rsidR="0036010A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/>
          <w:sz w:val="20"/>
          <w:szCs w:val="20"/>
          <w:lang w:val="pl-PL"/>
        </w:rPr>
        <w:t>w siedzibie Urzędu Mi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>ejskiego</w:t>
      </w:r>
      <w:r w:rsidR="00D745A0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>w</w:t>
      </w:r>
      <w:r w:rsidR="00D745A0" w:rsidRPr="00D745A0">
        <w:rPr>
          <w:rFonts w:ascii="Century Gothic" w:hAnsi="Century Gothic"/>
          <w:sz w:val="20"/>
          <w:szCs w:val="20"/>
          <w:lang w:val="pl-PL"/>
        </w:rPr>
        <w:t> </w:t>
      </w:r>
      <w:r w:rsidR="00805693" w:rsidRPr="00D745A0">
        <w:rPr>
          <w:rFonts w:ascii="Century Gothic" w:hAnsi="Century Gothic"/>
          <w:sz w:val="20"/>
          <w:szCs w:val="20"/>
          <w:lang w:val="pl-PL"/>
        </w:rPr>
        <w:t>Raciąż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>u</w:t>
      </w:r>
      <w:r w:rsidRPr="00D745A0">
        <w:rPr>
          <w:rFonts w:ascii="Century Gothic" w:hAnsi="Century Gothic"/>
          <w:sz w:val="20"/>
          <w:szCs w:val="20"/>
          <w:lang w:val="pl-PL"/>
        </w:rPr>
        <w:t>,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 xml:space="preserve"> pl.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Adama Mickiewicza 17 , II piętro (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>pokój nr</w:t>
      </w:r>
      <w:r w:rsidR="00A43F2B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="00AB3D7C" w:rsidRPr="00D745A0">
        <w:rPr>
          <w:rFonts w:ascii="Century Gothic" w:hAnsi="Century Gothic"/>
          <w:sz w:val="20"/>
          <w:szCs w:val="20"/>
          <w:lang w:val="pl-PL"/>
        </w:rPr>
        <w:t>28</w:t>
      </w:r>
      <w:r w:rsidRPr="00D745A0">
        <w:rPr>
          <w:rFonts w:ascii="Century Gothic" w:hAnsi="Century Gothic"/>
          <w:sz w:val="20"/>
          <w:szCs w:val="20"/>
          <w:lang w:val="pl-PL"/>
        </w:rPr>
        <w:t>)</w:t>
      </w:r>
      <w:r w:rsidR="00D30B2C" w:rsidRPr="00D745A0">
        <w:rPr>
          <w:rFonts w:ascii="Century Gothic" w:hAnsi="Century Gothic"/>
          <w:sz w:val="20"/>
          <w:szCs w:val="20"/>
          <w:lang w:val="pl-PL"/>
        </w:rPr>
        <w:t>.</w:t>
      </w:r>
    </w:p>
    <w:p w14:paraId="4636AEB4" w14:textId="08FF40AE" w:rsidR="00D30B2C" w:rsidRPr="00D745A0" w:rsidRDefault="00D30B2C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Fonts w:ascii="Century Gothic" w:hAnsi="Century Gothic"/>
          <w:sz w:val="20"/>
          <w:szCs w:val="20"/>
          <w:lang w:val="pl-PL"/>
        </w:rPr>
        <w:t>Termin zgłoszenia uczestnictwa w przetargu -</w:t>
      </w:r>
      <w:r w:rsidR="00C27F2C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/>
          <w:sz w:val="20"/>
          <w:szCs w:val="20"/>
          <w:lang w:val="pl-PL"/>
        </w:rPr>
        <w:t>do</w:t>
      </w:r>
      <w:r w:rsidR="0036010A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="00E5406E" w:rsidRPr="00D745A0">
        <w:rPr>
          <w:rFonts w:ascii="Century Gothic" w:hAnsi="Century Gothic"/>
          <w:sz w:val="20"/>
          <w:szCs w:val="20"/>
          <w:lang w:val="pl-PL"/>
        </w:rPr>
        <w:t>10</w:t>
      </w:r>
      <w:r w:rsidR="0036010A" w:rsidRPr="00D745A0">
        <w:rPr>
          <w:rFonts w:ascii="Century Gothic" w:hAnsi="Century Gothic"/>
          <w:sz w:val="20"/>
          <w:szCs w:val="20"/>
          <w:lang w:val="pl-PL"/>
        </w:rPr>
        <w:t>.</w:t>
      </w:r>
      <w:r w:rsidR="008A07AB" w:rsidRPr="00D745A0">
        <w:rPr>
          <w:rFonts w:ascii="Century Gothic" w:hAnsi="Century Gothic"/>
          <w:sz w:val="20"/>
          <w:szCs w:val="20"/>
          <w:lang w:val="pl-PL"/>
        </w:rPr>
        <w:t>1</w:t>
      </w:r>
      <w:r w:rsidR="00E5406E" w:rsidRPr="00D745A0">
        <w:rPr>
          <w:rFonts w:ascii="Century Gothic" w:hAnsi="Century Gothic"/>
          <w:sz w:val="20"/>
          <w:szCs w:val="20"/>
          <w:lang w:val="pl-PL"/>
        </w:rPr>
        <w:t>1</w:t>
      </w:r>
      <w:r w:rsidR="0036010A" w:rsidRPr="00D745A0">
        <w:rPr>
          <w:rFonts w:ascii="Century Gothic" w:hAnsi="Century Gothic"/>
          <w:sz w:val="20"/>
          <w:szCs w:val="20"/>
          <w:lang w:val="pl-PL"/>
        </w:rPr>
        <w:t>.2025 r.</w:t>
      </w:r>
      <w:r w:rsidR="0099179C" w:rsidRPr="00D745A0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do </w:t>
      </w:r>
      <w:r w:rsidR="006A0FB9" w:rsidRPr="00D745A0">
        <w:rPr>
          <w:rFonts w:ascii="Century Gothic" w:hAnsi="Century Gothic"/>
          <w:sz w:val="20"/>
          <w:szCs w:val="20"/>
          <w:lang w:val="pl-PL"/>
        </w:rPr>
        <w:t>godz.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1</w:t>
      </w:r>
      <w:r w:rsidR="0099179C" w:rsidRPr="00D745A0">
        <w:rPr>
          <w:rFonts w:ascii="Century Gothic" w:hAnsi="Century Gothic"/>
          <w:sz w:val="20"/>
          <w:szCs w:val="20"/>
          <w:lang w:val="pl-PL"/>
        </w:rPr>
        <w:t>2</w:t>
      </w:r>
      <w:r w:rsidRPr="00D745A0">
        <w:rPr>
          <w:rFonts w:ascii="Century Gothic" w:hAnsi="Century Gothic"/>
          <w:sz w:val="20"/>
          <w:szCs w:val="20"/>
          <w:lang w:val="pl-PL"/>
        </w:rPr>
        <w:t>.00</w:t>
      </w:r>
      <w:r w:rsidR="0099179C" w:rsidRPr="00D745A0">
        <w:rPr>
          <w:rFonts w:ascii="Century Gothic" w:hAnsi="Century Gothic"/>
          <w:sz w:val="20"/>
          <w:szCs w:val="20"/>
          <w:lang w:val="pl-PL"/>
        </w:rPr>
        <w:t>.</w:t>
      </w:r>
    </w:p>
    <w:p w14:paraId="30AA085C" w14:textId="5C7A76E1" w:rsidR="00D745A0" w:rsidRDefault="00D30B2C" w:rsidP="00BB00C3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Zgłoszenie</w:t>
      </w:r>
      <w:r w:rsidRPr="00D745A0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 xml:space="preserve"> uczestnictwa</w:t>
      </w:r>
      <w:r w:rsidR="00E82AC1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.</w:t>
      </w:r>
    </w:p>
    <w:p w14:paraId="79A58445" w14:textId="140ADEA6" w:rsidR="00B86C5D" w:rsidRPr="00E82AC1" w:rsidRDefault="00E82AC1" w:rsidP="00BB00C3">
      <w:pPr>
        <w:pStyle w:val="Akapitzlist"/>
        <w:spacing w:after="120"/>
        <w:ind w:left="0"/>
        <w:contextualSpacing w:val="0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Zgłosze</w:t>
      </w:r>
      <w:r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nia</w:t>
      </w: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uczestnictwa </w:t>
      </w:r>
      <w:r w:rsidR="00D30B2C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w przetargu </w:t>
      </w:r>
      <w:r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nal</w:t>
      </w:r>
      <w:r w:rsidR="00D30B2C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eży </w:t>
      </w: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dokonać </w:t>
      </w:r>
      <w:r w:rsidR="00D30B2C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w formie pisemnej</w:t>
      </w:r>
      <w:r w:rsidR="00D745A0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="00D30B2C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(w przypadku współwłaścicieli zgłoszenie uczestnictwa składają wszyscy współwłaściciele) w </w:t>
      </w:r>
      <w:r w:rsidR="00B86C5D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Sekretariacie </w:t>
      </w:r>
      <w:r w:rsidR="006A0FB9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Urzędu</w:t>
      </w:r>
      <w:r w:rsidR="00B86C5D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Miejskiego w Raciążu pokój nr 2</w:t>
      </w:r>
      <w:r w:rsidR="00BE70AF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="00B86C5D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(parter)</w:t>
      </w:r>
      <w:r w:rsidR="0064281F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na druku stanowiącym załącznik do niniejszego ogłoszenia</w:t>
      </w:r>
      <w:r w:rsidR="00E554C9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.</w:t>
      </w:r>
    </w:p>
    <w:p w14:paraId="02E0199F" w14:textId="52D9D052" w:rsidR="00D30B2C" w:rsidRPr="00D745A0" w:rsidRDefault="00D30B2C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Southern PL"/>
          <w:sz w:val="20"/>
          <w:szCs w:val="20"/>
          <w:u w:val="single"/>
          <w:lang w:val="pl-PL" w:eastAsia="pl-PL"/>
        </w:rPr>
      </w:pPr>
      <w:r w:rsidRPr="00D745A0">
        <w:rPr>
          <w:rFonts w:ascii="Century Gothic" w:eastAsia="Times New Roman" w:hAnsi="Century Gothic" w:cs="Southern PL"/>
          <w:sz w:val="20"/>
          <w:szCs w:val="20"/>
          <w:u w:val="single"/>
          <w:lang w:val="pl-PL" w:eastAsia="pl-PL"/>
        </w:rPr>
        <w:t>Do zgłoszenia należy załączyć:</w:t>
      </w:r>
    </w:p>
    <w:p w14:paraId="006CB858" w14:textId="5656E0BB" w:rsidR="00805693" w:rsidRPr="00E82AC1" w:rsidRDefault="00805693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dowód wniesienia wadium,</w:t>
      </w:r>
    </w:p>
    <w:p w14:paraId="6A439292" w14:textId="172F268E" w:rsidR="00D30B2C" w:rsidRPr="00E82AC1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bookmarkStart w:id="0" w:name="_Hlk201651881"/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pisemne zgłoszenie uczestnictwa w ustnym przetargu ograniczonym,</w:t>
      </w:r>
    </w:p>
    <w:p w14:paraId="3D5AD285" w14:textId="5E54C123" w:rsidR="00D30B2C" w:rsidRPr="00E82AC1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bookmarkStart w:id="1" w:name="_Hlk201651441"/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aktualny</w:t>
      </w:r>
      <w:r w:rsidR="00214689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wypis (nie starszy niż 3 </w:t>
      </w:r>
      <w:r w:rsidR="002E1E33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miesiące</w:t>
      </w:r>
      <w:r w:rsidR="00214689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)</w:t>
      </w: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z księgi wieczystej prowadzonej dla nieruchomości przyległej do której będzie przyłączana nieruchomość objęta przetargiem (w celu potwierdzenia tytułu własności do gruntu),</w:t>
      </w:r>
    </w:p>
    <w:p w14:paraId="604AFCE0" w14:textId="73E34833" w:rsidR="00D30B2C" w:rsidRPr="00E82AC1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120"/>
        <w:ind w:left="425" w:hanging="357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bookmarkStart w:id="2" w:name="_Hlk201651957"/>
      <w:bookmarkEnd w:id="1"/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osoby prawne zgłaszające uczestnictwo powinny załączyć aktualny wypis</w:t>
      </w:r>
      <w:r w:rsidR="00090B73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z właściwego rejestru</w:t>
      </w:r>
      <w:r w:rsid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="00090B73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(</w:t>
      </w: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KRS</w:t>
      </w:r>
      <w:r w:rsidR="00090B73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, C</w:t>
      </w:r>
      <w:r w:rsidR="00A23CB2"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EIDG) </w:t>
      </w:r>
      <w:r w:rsidRPr="00E82AC1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oraz pełnomocnictwo.</w:t>
      </w:r>
    </w:p>
    <w:bookmarkEnd w:id="0"/>
    <w:bookmarkEnd w:id="2"/>
    <w:p w14:paraId="37D3FEEF" w14:textId="104F898B" w:rsidR="00D30B2C" w:rsidRPr="00D745A0" w:rsidRDefault="00D30B2C" w:rsidP="00BB00C3">
      <w:pPr>
        <w:pStyle w:val="NormalnyWeb"/>
        <w:spacing w:before="0" w:beforeAutospacing="0" w:after="120" w:afterAutospacing="0" w:line="276" w:lineRule="auto"/>
        <w:jc w:val="both"/>
        <w:rPr>
          <w:rFonts w:ascii="Century Gothic" w:hAnsi="Century Gothic" w:cs="Southern PL"/>
          <w:sz w:val="20"/>
          <w:szCs w:val="20"/>
        </w:rPr>
      </w:pPr>
      <w:r w:rsidRPr="00D745A0">
        <w:rPr>
          <w:rFonts w:ascii="Century Gothic" w:hAnsi="Century Gothic" w:cs="Southern PL"/>
          <w:sz w:val="20"/>
          <w:szCs w:val="20"/>
        </w:rPr>
        <w:t>Lista osób zakwalifikowanych do uczestnictwa</w:t>
      </w:r>
      <w:r w:rsidR="00BE70AF" w:rsidRPr="00D745A0">
        <w:rPr>
          <w:rFonts w:ascii="Century Gothic" w:hAnsi="Century Gothic" w:cs="Southern PL"/>
          <w:sz w:val="20"/>
          <w:szCs w:val="20"/>
        </w:rPr>
        <w:t xml:space="preserve"> </w:t>
      </w:r>
      <w:r w:rsidRPr="00D745A0">
        <w:rPr>
          <w:rFonts w:ascii="Century Gothic" w:hAnsi="Century Gothic" w:cs="Southern PL"/>
          <w:sz w:val="20"/>
          <w:szCs w:val="20"/>
        </w:rPr>
        <w:t>w przetargu zostanie zamieszczona w Biuletynie Informacji Publicznej na stronie Urzędu Mi</w:t>
      </w:r>
      <w:r w:rsidR="00AB3D7C" w:rsidRPr="00D745A0">
        <w:rPr>
          <w:rFonts w:ascii="Century Gothic" w:hAnsi="Century Gothic" w:cs="Southern PL"/>
          <w:sz w:val="20"/>
          <w:szCs w:val="20"/>
        </w:rPr>
        <w:t>ejskiego w</w:t>
      </w:r>
      <w:r w:rsidRPr="00D745A0">
        <w:rPr>
          <w:rFonts w:ascii="Century Gothic" w:hAnsi="Century Gothic" w:cs="Southern PL"/>
          <w:sz w:val="20"/>
          <w:szCs w:val="20"/>
        </w:rPr>
        <w:t xml:space="preserve"> </w:t>
      </w:r>
      <w:r w:rsidR="00090B73" w:rsidRPr="00D745A0">
        <w:rPr>
          <w:rFonts w:ascii="Century Gothic" w:hAnsi="Century Gothic" w:cs="Southern PL"/>
          <w:sz w:val="20"/>
          <w:szCs w:val="20"/>
        </w:rPr>
        <w:t>Raciąż</w:t>
      </w:r>
      <w:r w:rsidR="00AB3D7C" w:rsidRPr="00D745A0">
        <w:rPr>
          <w:rFonts w:ascii="Century Gothic" w:hAnsi="Century Gothic" w:cs="Southern PL"/>
          <w:sz w:val="20"/>
          <w:szCs w:val="20"/>
        </w:rPr>
        <w:t>u</w:t>
      </w:r>
      <w:r w:rsidRPr="00D745A0">
        <w:rPr>
          <w:rFonts w:ascii="Century Gothic" w:hAnsi="Century Gothic" w:cs="Southern PL"/>
          <w:sz w:val="20"/>
          <w:szCs w:val="20"/>
        </w:rPr>
        <w:t xml:space="preserve"> oraz wywieszona </w:t>
      </w:r>
      <w:r w:rsidR="00E82AC1">
        <w:rPr>
          <w:rFonts w:ascii="Century Gothic" w:hAnsi="Century Gothic" w:cs="Southern PL"/>
          <w:sz w:val="20"/>
          <w:szCs w:val="20"/>
        </w:rPr>
        <w:t xml:space="preserve"> </w:t>
      </w:r>
      <w:r w:rsidRPr="00D745A0">
        <w:rPr>
          <w:rFonts w:ascii="Century Gothic" w:hAnsi="Century Gothic" w:cs="Southern PL"/>
          <w:sz w:val="20"/>
          <w:szCs w:val="20"/>
        </w:rPr>
        <w:t>w siedzibie Urzędu Mi</w:t>
      </w:r>
      <w:r w:rsidR="00AB3D7C" w:rsidRPr="00D745A0">
        <w:rPr>
          <w:rFonts w:ascii="Century Gothic" w:hAnsi="Century Gothic" w:cs="Southern PL"/>
          <w:sz w:val="20"/>
          <w:szCs w:val="20"/>
        </w:rPr>
        <w:t>ejskiego w</w:t>
      </w:r>
      <w:r w:rsidR="00BE70AF" w:rsidRPr="00D745A0">
        <w:rPr>
          <w:rFonts w:ascii="Century Gothic" w:hAnsi="Century Gothic" w:cs="Southern PL"/>
          <w:sz w:val="20"/>
          <w:szCs w:val="20"/>
        </w:rPr>
        <w:t xml:space="preserve"> </w:t>
      </w:r>
      <w:r w:rsidR="00090B73" w:rsidRPr="00D745A0">
        <w:rPr>
          <w:rFonts w:ascii="Century Gothic" w:hAnsi="Century Gothic" w:cs="Southern PL"/>
          <w:sz w:val="20"/>
          <w:szCs w:val="20"/>
        </w:rPr>
        <w:t>Raciąż</w:t>
      </w:r>
      <w:r w:rsidR="00AB3D7C" w:rsidRPr="00D745A0">
        <w:rPr>
          <w:rFonts w:ascii="Century Gothic" w:hAnsi="Century Gothic" w:cs="Southern PL"/>
          <w:sz w:val="20"/>
          <w:szCs w:val="20"/>
        </w:rPr>
        <w:t>u</w:t>
      </w:r>
      <w:r w:rsidRPr="00D745A0">
        <w:rPr>
          <w:rFonts w:ascii="Century Gothic" w:hAnsi="Century Gothic" w:cs="Southern PL"/>
          <w:sz w:val="20"/>
          <w:szCs w:val="20"/>
        </w:rPr>
        <w:t>,</w:t>
      </w:r>
      <w:r w:rsidR="00090B73" w:rsidRPr="00D745A0">
        <w:rPr>
          <w:rFonts w:ascii="Century Gothic" w:hAnsi="Century Gothic" w:cs="Southern PL"/>
          <w:sz w:val="20"/>
          <w:szCs w:val="20"/>
        </w:rPr>
        <w:t xml:space="preserve"> na</w:t>
      </w:r>
      <w:r w:rsidRPr="00D745A0">
        <w:rPr>
          <w:rFonts w:ascii="Century Gothic" w:hAnsi="Century Gothic" w:cs="Southern PL"/>
          <w:sz w:val="20"/>
          <w:szCs w:val="20"/>
        </w:rPr>
        <w:t xml:space="preserve"> tablic</w:t>
      </w:r>
      <w:r w:rsidR="00090B73" w:rsidRPr="00D745A0">
        <w:rPr>
          <w:rFonts w:ascii="Century Gothic" w:hAnsi="Century Gothic" w:cs="Southern PL"/>
          <w:sz w:val="20"/>
          <w:szCs w:val="20"/>
        </w:rPr>
        <w:t>y</w:t>
      </w:r>
      <w:r w:rsidRPr="00D745A0">
        <w:rPr>
          <w:rFonts w:ascii="Century Gothic" w:hAnsi="Century Gothic" w:cs="Southern PL"/>
          <w:sz w:val="20"/>
          <w:szCs w:val="20"/>
        </w:rPr>
        <w:t xml:space="preserve"> ogłoszeń</w:t>
      </w:r>
      <w:r w:rsidR="00090B73" w:rsidRPr="00D745A0">
        <w:rPr>
          <w:rFonts w:ascii="Century Gothic" w:hAnsi="Century Gothic" w:cs="Southern PL"/>
          <w:sz w:val="20"/>
          <w:szCs w:val="20"/>
        </w:rPr>
        <w:t xml:space="preserve"> (parter)</w:t>
      </w:r>
      <w:r w:rsidRPr="00D745A0">
        <w:rPr>
          <w:rFonts w:ascii="Century Gothic" w:hAnsi="Century Gothic" w:cs="Southern PL"/>
          <w:sz w:val="20"/>
          <w:szCs w:val="20"/>
        </w:rPr>
        <w:t xml:space="preserve"> </w:t>
      </w:r>
      <w:r w:rsidRPr="00E82AC1">
        <w:rPr>
          <w:rFonts w:ascii="Century Gothic" w:hAnsi="Century Gothic" w:cs="Southern PL"/>
          <w:sz w:val="20"/>
          <w:szCs w:val="20"/>
        </w:rPr>
        <w:t xml:space="preserve">do </w:t>
      </w:r>
      <w:r w:rsidR="00633AAD" w:rsidRPr="00E82AC1">
        <w:rPr>
          <w:rFonts w:ascii="Century Gothic" w:hAnsi="Century Gothic" w:cs="Southern PL"/>
          <w:sz w:val="20"/>
          <w:szCs w:val="20"/>
        </w:rPr>
        <w:t>1</w:t>
      </w:r>
      <w:r w:rsidR="00D34B6E" w:rsidRPr="00E82AC1">
        <w:rPr>
          <w:rFonts w:ascii="Century Gothic" w:hAnsi="Century Gothic" w:cs="Southern PL"/>
          <w:sz w:val="20"/>
          <w:szCs w:val="20"/>
        </w:rPr>
        <w:t>2</w:t>
      </w:r>
      <w:r w:rsidR="0036010A" w:rsidRPr="00E82AC1">
        <w:rPr>
          <w:rFonts w:ascii="Century Gothic" w:hAnsi="Century Gothic" w:cs="Southern PL"/>
          <w:sz w:val="20"/>
          <w:szCs w:val="20"/>
        </w:rPr>
        <w:t>.</w:t>
      </w:r>
      <w:r w:rsidR="008A07AB" w:rsidRPr="00E82AC1">
        <w:rPr>
          <w:rFonts w:ascii="Century Gothic" w:hAnsi="Century Gothic" w:cs="Southern PL"/>
          <w:sz w:val="20"/>
          <w:szCs w:val="20"/>
        </w:rPr>
        <w:t>1</w:t>
      </w:r>
      <w:r w:rsidR="00633AAD" w:rsidRPr="00E82AC1">
        <w:rPr>
          <w:rFonts w:ascii="Century Gothic" w:hAnsi="Century Gothic" w:cs="Southern PL"/>
          <w:sz w:val="20"/>
          <w:szCs w:val="20"/>
        </w:rPr>
        <w:t>1</w:t>
      </w:r>
      <w:r w:rsidR="0036010A" w:rsidRPr="00E82AC1">
        <w:rPr>
          <w:rFonts w:ascii="Century Gothic" w:hAnsi="Century Gothic" w:cs="Southern PL"/>
          <w:sz w:val="20"/>
          <w:szCs w:val="20"/>
        </w:rPr>
        <w:t>.</w:t>
      </w:r>
      <w:r w:rsidRPr="00E82AC1">
        <w:rPr>
          <w:rFonts w:ascii="Century Gothic" w:hAnsi="Century Gothic" w:cs="Southern PL"/>
          <w:sz w:val="20"/>
          <w:szCs w:val="20"/>
        </w:rPr>
        <w:t>2025 r</w:t>
      </w:r>
      <w:r w:rsidR="00C00665" w:rsidRPr="00E82AC1">
        <w:rPr>
          <w:rFonts w:ascii="Century Gothic" w:hAnsi="Century Gothic" w:cs="Southern PL"/>
          <w:sz w:val="20"/>
          <w:szCs w:val="20"/>
        </w:rPr>
        <w:t>.</w:t>
      </w:r>
    </w:p>
    <w:p w14:paraId="3D158C16" w14:textId="453EABBF" w:rsidR="00E82AC1" w:rsidRDefault="00E82AC1" w:rsidP="00BB00C3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Wadium.</w:t>
      </w:r>
    </w:p>
    <w:p w14:paraId="5AE7DD55" w14:textId="50433358" w:rsidR="00D30B2C" w:rsidRPr="00E82AC1" w:rsidRDefault="00D30B2C" w:rsidP="00BB00C3">
      <w:pPr>
        <w:widowControl w:val="0"/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b/>
          <w:bCs/>
          <w:color w:val="EE0000"/>
          <w:sz w:val="20"/>
          <w:szCs w:val="20"/>
          <w:lang w:val="pl-PL" w:eastAsia="pl-PL"/>
        </w:rPr>
      </w:pP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Warunkiem uczestnictwa w przetargu jest wpłacenie w</w:t>
      </w:r>
      <w:r w:rsidRPr="00E82AC1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>adium</w:t>
      </w:r>
      <w:r w:rsidR="00B16975" w:rsidRPr="00E82AC1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 xml:space="preserve"> w pieniądzu,</w:t>
      </w:r>
      <w:r w:rsidR="00E82AC1" w:rsidRPr="00E82AC1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 xml:space="preserve"> </w:t>
      </w:r>
      <w:r w:rsidRPr="00E82AC1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 xml:space="preserve">w nieprzekraczalnym terminie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do dnia</w:t>
      </w:r>
      <w:r w:rsidR="0036010A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</w:t>
      </w:r>
      <w:r w:rsidR="00E5406E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10</w:t>
      </w:r>
      <w:r w:rsidR="0036010A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  <w:r w:rsidR="008A07AB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1</w:t>
      </w:r>
      <w:r w:rsidR="00E5406E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1</w:t>
      </w:r>
      <w:r w:rsidR="0036010A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2025</w:t>
      </w:r>
      <w:r w:rsidR="00406D1C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r</w:t>
      </w:r>
      <w:r w:rsidR="00406D1C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oku</w:t>
      </w:r>
      <w:r w:rsidR="00EF77B9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na</w:t>
      </w:r>
      <w:r w:rsidR="00240D9C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nr konta </w:t>
      </w:r>
      <w:r w:rsidR="00760953" w:rsidRPr="00E82AC1">
        <w:rPr>
          <w:rStyle w:val="Pogrubienie"/>
          <w:rFonts w:ascii="Century Gothic" w:hAnsi="Century Gothic"/>
          <w:color w:val="333333"/>
          <w:sz w:val="20"/>
          <w:szCs w:val="20"/>
          <w:shd w:val="clear" w:color="auto" w:fill="FFFFFF"/>
          <w:lang w:val="pl-PL"/>
        </w:rPr>
        <w:t>31 8233 0004 0000 1544 2016 0009</w:t>
      </w:r>
      <w:r w:rsidR="009740C4" w:rsidRPr="00E82AC1">
        <w:rPr>
          <w:rStyle w:val="Pogrubienie"/>
          <w:rFonts w:ascii="Century Gothic" w:hAnsi="Century Gothic"/>
          <w:b w:val="0"/>
          <w:bCs w:val="0"/>
          <w:color w:val="333333"/>
          <w:sz w:val="20"/>
          <w:szCs w:val="20"/>
          <w:shd w:val="clear" w:color="auto" w:fill="FFFFFF"/>
          <w:lang w:val="pl-PL"/>
        </w:rPr>
        <w:t xml:space="preserve"> </w:t>
      </w:r>
      <w:r w:rsidR="00240D9C" w:rsidRPr="00E82AC1">
        <w:rPr>
          <w:rFonts w:ascii="Century Gothic" w:hAnsi="Century Gothic"/>
          <w:b/>
          <w:bCs/>
          <w:sz w:val="20"/>
          <w:szCs w:val="20"/>
          <w:lang w:val="pl-PL"/>
        </w:rPr>
        <w:t>w Banku Spółdzielczym w Raciążu</w:t>
      </w:r>
      <w:r w:rsidR="00240D9C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z dopiskiem </w:t>
      </w:r>
      <w:r w:rsidR="00240D9C" w:rsidRPr="00E82AC1">
        <w:rPr>
          <w:rFonts w:ascii="Century Gothic" w:hAnsi="Century Gothic"/>
          <w:b/>
          <w:bCs/>
          <w:sz w:val="20"/>
          <w:szCs w:val="20"/>
          <w:lang w:val="pl-PL"/>
        </w:rPr>
        <w:t xml:space="preserve">„Wadium za działkę nr 1128/2 Raciąż”.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Za dokonanie wpłaty uważa się dzień wpływu środków pieniężnych na ww. rachunek bankowy tutejszego Urzędu tj.</w:t>
      </w:r>
      <w:r w:rsid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 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do</w:t>
      </w:r>
      <w:r w:rsid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 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dnia</w:t>
      </w:r>
      <w:r w:rsidR="00BE70AF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</w:t>
      </w:r>
      <w:r w:rsidR="00633AAD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10</w:t>
      </w:r>
      <w:r w:rsidR="008A07AB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.1</w:t>
      </w:r>
      <w:r w:rsidR="00633AAD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1</w:t>
      </w:r>
      <w:r w:rsidR="0036010A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2025 r</w:t>
      </w:r>
      <w:r w:rsidR="00C00665"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</w:p>
    <w:p w14:paraId="307D4C90" w14:textId="7473FFCB" w:rsidR="00D30B2C" w:rsidRDefault="00D30B2C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Wadium wpłacone przez osobę, która wygra przetarg zostaje zaliczone na poczet ceny nabycia.</w:t>
      </w:r>
      <w:r w:rsidR="00E82AC1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Oferentom, którzy przetargu nie wygrali, wadium zwraca się niezwłocznie po odwołaniu lub zamknięciu przetargu</w:t>
      </w:r>
      <w:r w:rsidR="00B86C5D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, nie </w:t>
      </w:r>
      <w:r w:rsidR="00AF02C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później</w:t>
      </w:r>
      <w:r w:rsidR="00B86C5D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niż przed upływem 3 dni od dnia odpowiednio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B86C5D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odwołania, zamknięcia.</w:t>
      </w:r>
    </w:p>
    <w:p w14:paraId="4A1B4D67" w14:textId="5CBBB8CE" w:rsidR="00EA10AC" w:rsidRDefault="00EA10AC" w:rsidP="00EA10AC">
      <w:pPr>
        <w:widowControl w:val="0"/>
        <w:numPr>
          <w:ilvl w:val="12"/>
          <w:numId w:val="0"/>
        </w:num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EA10A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Wadium przepada na rzecz sprzedającego w przypadku uchylenia się nabywcy od zawarcia umowy lub niestawienia się bez usprawiedliwienia, w terminie i miejscu zawarcia umowy, o którym wcześniej zostanie powiadomiony przez organizatora przetargu.</w:t>
      </w:r>
    </w:p>
    <w:p w14:paraId="28AD9B77" w14:textId="77777777" w:rsidR="00EA10AC" w:rsidRDefault="00EA10AC">
      <w:pPr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 w:type="page"/>
      </w:r>
    </w:p>
    <w:p w14:paraId="0D3D0540" w14:textId="01CF7747" w:rsidR="00054A2C" w:rsidRDefault="00054A2C" w:rsidP="00BB00C3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lastRenderedPageBreak/>
        <w:t>Pozostałe wymagania.</w:t>
      </w:r>
    </w:p>
    <w:p w14:paraId="756C00FF" w14:textId="1050F7BF" w:rsidR="00D30B2C" w:rsidRPr="00054A2C" w:rsidRDefault="00D30B2C" w:rsidP="00BB00C3">
      <w:pPr>
        <w:pStyle w:val="Akapitzlist"/>
        <w:spacing w:after="0"/>
        <w:ind w:left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Uczestnicy przetargu zobowiązani są przedstawić komisji przetargowej dokumenty umożliwiające określenie tożsamości oraz zdolności do uczestnictwa w przetargu, </w:t>
      </w:r>
      <w:r w:rsidR="00E82AC1"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a w szczególności:</w:t>
      </w:r>
    </w:p>
    <w:p w14:paraId="4B6F1B31" w14:textId="63FDEB60" w:rsidR="00D30B2C" w:rsidRPr="00054A2C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bookmarkStart w:id="3" w:name="_Hlk201651488"/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podmioty inne niż osoby fizyczne, koniecznie winny przedłożyć aktualny dokument,</w:t>
      </w:r>
      <w:r w:rsidR="00A23CB2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z którego wynika upoważnienie do reprezentowania tego podmiotu (wydruk </w:t>
      </w:r>
      <w:r w:rsid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z Centralnej Informacji Krajowego Rejestru Sądowego lub inny dokument potwierdzający formę prowadzenia działalności</w:t>
      </w:r>
      <w:r w:rsidR="006A0FB9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i sposobu reprezentacji uczestnika przetargu), a gdy działa pełnomocnik, konieczne jest przedłożenie pełnomocnictwa w formie aktu notarialnego;</w:t>
      </w:r>
    </w:p>
    <w:p w14:paraId="0072F7A7" w14:textId="314160B2" w:rsidR="00D30B2C" w:rsidRPr="00054A2C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pełnomocnicy osób fizycznych poza przypadkami wyżej wskazanymi, koniecznie winn</w:t>
      </w:r>
      <w:r w:rsidR="00AB3D7C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i</w:t>
      </w:r>
      <w:r w:rsidR="00BE70AF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przedłożyć pełnomocnictwa w formie aktu notarialnego;</w:t>
      </w:r>
    </w:p>
    <w:p w14:paraId="559374C5" w14:textId="3224C1A6" w:rsidR="00D30B2C" w:rsidRPr="00054A2C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/>
        <w:ind w:left="426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małżonkowie do dokonywania czynności przetargowych, konieczna jest obecność obojga małżonków lub jednego z nich z pełnomocnictwem drugiego małżonka, zawierającym zgodę na odpłatne nabycie nieruchomości. Pełnomocnictwo do nabycia w drodze umowy notarialnej powinno być sporządzone</w:t>
      </w:r>
      <w:r w:rsidR="00BE70AF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w formie aktu notarialnego. Jeżeli nabycie ma nastąpić do majątku osobistego, małżonek uczestniczący samodzielnie w czynnościach przetargowych, powinien przedłożyć dokument potwierdzający ustanowienie rozdzielności majątkowej lub oświadczenie</w:t>
      </w:r>
      <w:r w:rsidR="00A43F2B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w formie aktu notarialnego drugiego małżonka potwierdzające, że środki na nabycie nieruchomości pochodzą</w:t>
      </w:r>
      <w:r w:rsidR="00BE70AF"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z majątku osobistego małżonka przystępującego do przetargu;</w:t>
      </w:r>
    </w:p>
    <w:p w14:paraId="7D6D8B98" w14:textId="77777777" w:rsidR="00054A2C" w:rsidRDefault="00D30B2C" w:rsidP="00BB00C3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120"/>
        <w:ind w:left="425" w:hanging="357"/>
        <w:contextualSpacing w:val="0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cudzoziemcy w rozumieniu art. 1 ust. 2 ustawy z dnia 24 marca 1920 r. o nabywaniu nieruchomości przez cudzoziemców (Dz.U. z 2017 r. poz. 2278), przedkładają ważny dokument potwierdzający tożsamość oraz zezwolenie na nabycie nieruchomości wydane przez ministra właściwego do spraw wewnętrznych, w przypadku, gdy jest wymagane. Nabywca nieruchomości we własnym zakresie ustala, czy nabycie nieruchomości będącej przedmiotem przetargu wymaga takiego zezwolenia.</w:t>
      </w:r>
      <w:bookmarkEnd w:id="3"/>
    </w:p>
    <w:p w14:paraId="55FCB258" w14:textId="43ECDA2A" w:rsidR="00054A2C" w:rsidRPr="00054A2C" w:rsidRDefault="00054A2C" w:rsidP="00BB00C3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Czynności po wyłonieniu nabywcy.</w:t>
      </w:r>
    </w:p>
    <w:p w14:paraId="64472ED3" w14:textId="6B2143FE" w:rsidR="00054A2C" w:rsidRDefault="00D30B2C" w:rsidP="00BB00C3">
      <w:pPr>
        <w:widowControl w:val="0"/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Nabywca nieruchomości wyłoniony w drodze przetargu ponosi koszty notarialne i sądowe związane</w:t>
      </w:r>
      <w:r w:rsidR="002A7EC8"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z przeniesieniem prawa własności nieruchomości</w:t>
      </w:r>
      <w:r w:rsid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</w:t>
      </w:r>
    </w:p>
    <w:p w14:paraId="43CE74A3" w14:textId="35533DD3" w:rsidR="006A3E1A" w:rsidRDefault="00D30B2C" w:rsidP="006A3E1A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Organizator przetargu zawiadamia nabywcę o miejscu i terminie zawarcia umowy sprzedaży, najpóźniej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 ciągu 21 dni od daty rozstrzygnięcia przetargu. Wyznaczony termin nie może być krótszy niż 7 dni od dnia doręczenia zawiadomienia.</w:t>
      </w:r>
      <w:r w:rsidR="006A3E1A" w:rsidRPr="006A3E1A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</w:p>
    <w:p w14:paraId="16C042E9" w14:textId="68D3AA1A" w:rsidR="00054A2C" w:rsidRPr="00D745A0" w:rsidRDefault="00D30B2C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Cena nieruchomości sprzedawanej w drodze przetargu podlega zapłacie nie później niż do dnia zawarcia umowy przenoszącej własność. W dniu podpisania umowy notarialnej środki finansowe winny znajdować się na rachunku bankowym Urzędu Mi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ejskiego</w:t>
      </w:r>
      <w:r w:rsidR="00667B8D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832FB1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Raciąż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u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</w:t>
      </w:r>
    </w:p>
    <w:p w14:paraId="73A934D2" w14:textId="06DA1BF1" w:rsidR="00D30B2C" w:rsidRDefault="00D30B2C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Zastrzega się prawo odwołania przetargu w przypadku zaistnienia uzasadnionych powodów. Informacja</w:t>
      </w:r>
      <w:r w:rsidR="002A7EC8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 odwołaniu przetargu zostanie ogłoszona w formie właściwej dla ogłoszenia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</w:t>
      </w:r>
      <w:r w:rsidR="00054A2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przetargu.</w:t>
      </w:r>
    </w:p>
    <w:p w14:paraId="47176489" w14:textId="6B60D168" w:rsidR="00054A2C" w:rsidRPr="00054A2C" w:rsidRDefault="00054A2C" w:rsidP="00BB00C3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  <w:r w:rsidRPr="00054A2C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Pozostałe informacje.</w:t>
      </w:r>
    </w:p>
    <w:p w14:paraId="3EB8A7E6" w14:textId="511F311D" w:rsidR="00832FB1" w:rsidRPr="00D745A0" w:rsidRDefault="00D30B2C" w:rsidP="00BB00C3">
      <w:pPr>
        <w:widowControl w:val="0"/>
        <w:autoSpaceDE w:val="0"/>
        <w:autoSpaceDN w:val="0"/>
        <w:spacing w:after="0"/>
        <w:jc w:val="both"/>
        <w:rPr>
          <w:rFonts w:ascii="Century Gothic" w:hAnsi="Century Gothic" w:cs="Times New Roman"/>
          <w:sz w:val="18"/>
          <w:szCs w:val="18"/>
          <w:lang w:val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Niniejsze ogłoszenie stanowi zaproszenie osób uprawnionych do wzięcia udziału w przetargu.</w:t>
      </w:r>
      <w:r w:rsidR="006A0FB9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Dodatkowe informacje na temat warunków przetargu oraz materiały przetargowe, </w:t>
      </w:r>
      <w:r w:rsidR="003611DC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m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ożna uzyskać</w:t>
      </w:r>
      <w:r w:rsidR="00C860A8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</w:t>
      </w:r>
      <w:r w:rsidR="00566936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w</w:t>
      </w:r>
      <w:r w:rsidR="00C860A8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Urzędzie Miejskim w Raciążu</w:t>
      </w:r>
      <w:r w:rsidR="00BE70AF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</w:t>
      </w:r>
      <w:r w:rsidR="00832FB1" w:rsidRPr="00D745A0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pok. nr 11</w:t>
      </w:r>
      <w:r w:rsidR="00C860A8" w:rsidRPr="00D745A0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 ( I piętro) t</w:t>
      </w:r>
      <w:r w:rsidR="00832FB1" w:rsidRPr="00D745A0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el.(23) </w:t>
      </w:r>
      <w:r w:rsidR="00832FB1" w:rsidRPr="00D745A0">
        <w:rPr>
          <w:rFonts w:ascii="Century Gothic" w:hAnsi="Century Gothic" w:cs="Times New Roman"/>
          <w:sz w:val="18"/>
          <w:szCs w:val="18"/>
          <w:lang w:val="pl-PL"/>
        </w:rPr>
        <w:t>683 48 61</w:t>
      </w:r>
      <w:r w:rsidR="00282C87" w:rsidRPr="00D745A0">
        <w:rPr>
          <w:rFonts w:ascii="Century Gothic" w:hAnsi="Century Gothic" w:cs="Times New Roman"/>
          <w:sz w:val="18"/>
          <w:szCs w:val="18"/>
          <w:lang w:val="pl-PL"/>
        </w:rPr>
        <w:t>.</w:t>
      </w:r>
    </w:p>
    <w:p w14:paraId="5B50C776" w14:textId="08F7236F" w:rsidR="00074173" w:rsidRPr="00D745A0" w:rsidRDefault="00D30B2C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jc w:val="both"/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Ogłoszenie o przetargu wywieszono w siedzibie Urzędu, opublikowano w prasie oraz w Biuletynie Informacji Publicznej Urzędu Miasta </w:t>
      </w:r>
      <w:r w:rsidR="00832FB1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Raciąża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na stronie</w:t>
      </w:r>
      <w:r w:rsidRPr="00D745A0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Start w:id="4" w:name="_Hlk201058875"/>
      <w:r w:rsidR="00A31915" w:rsidRPr="00D745A0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begin"/>
      </w:r>
      <w:r w:rsidR="00A31915" w:rsidRPr="00D745A0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instrText>HYPERLINK "https://bip.miastoraciaz.pl"</w:instrText>
      </w:r>
      <w:r w:rsidR="00A31915" w:rsidRPr="00D745A0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</w:r>
      <w:r w:rsidR="00A31915" w:rsidRPr="00D745A0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separate"/>
      </w:r>
      <w:r w:rsidR="00A31915" w:rsidRPr="00D745A0">
        <w:rPr>
          <w:rStyle w:val="Hipercze"/>
          <w:rFonts w:ascii="Century Gothic" w:eastAsiaTheme="majorEastAsia" w:hAnsi="Century Gothic" w:cs="Times New Roman"/>
          <w:iCs/>
          <w:color w:val="auto"/>
          <w:sz w:val="20"/>
          <w:szCs w:val="20"/>
          <w:lang w:val="pl-PL" w:eastAsia="pl-PL"/>
        </w:rPr>
        <w:t>https://bip.miastoraciaz.pl</w:t>
      </w:r>
      <w:r w:rsidR="00A31915" w:rsidRPr="00D745A0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end"/>
      </w:r>
      <w:r w:rsidR="00A31915" w:rsidRPr="00D745A0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End w:id="4"/>
      <w:r w:rsidR="0049311E" w:rsidRPr="00D745A0">
        <w:rPr>
          <w:rFonts w:ascii="Century Gothic" w:eastAsiaTheme="majorEastAsia" w:hAnsi="Century Gothic" w:cs="Times New Roman"/>
          <w:iCs/>
          <w:sz w:val="20"/>
          <w:szCs w:val="20"/>
          <w:lang w:val="pl-PL" w:eastAsia="pl-PL"/>
        </w:rPr>
        <w:t>na okres 30 dni tj., od 07.10.2025 do 07.11.2025.</w:t>
      </w:r>
    </w:p>
    <w:p w14:paraId="1356F884" w14:textId="77777777" w:rsidR="00B540A2" w:rsidRPr="00D745A0" w:rsidRDefault="00B540A2" w:rsidP="00B540A2">
      <w:pPr>
        <w:widowControl w:val="0"/>
        <w:numPr>
          <w:ilvl w:val="12"/>
          <w:numId w:val="0"/>
        </w:numPr>
        <w:autoSpaceDE w:val="0"/>
        <w:autoSpaceDN w:val="0"/>
        <w:spacing w:after="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Termin do złożenia wniosku przez osoby, którym przysługiwało pierwszeństwo w nabyciu nieruchomości na podstawie art. 34 ust. 1 pkt 1 i 2 ustawy z dnia 21 sierpnia</w:t>
      </w: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1997 r. o gospodarce nieruchomościami upłynął w dniu 21.05.2025 roku.</w:t>
      </w:r>
    </w:p>
    <w:p w14:paraId="0A88AB56" w14:textId="05C7FD6F" w:rsidR="00B540A2" w:rsidRPr="00D745A0" w:rsidRDefault="00B540A2" w:rsidP="00B540A2">
      <w:pPr>
        <w:widowControl w:val="0"/>
        <w:numPr>
          <w:ilvl w:val="12"/>
          <w:numId w:val="0"/>
        </w:numPr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Niezależnie od podanych informacji, nabywca odpowiada za samodzielne zapoznanie się ze stanem prawnym i faktycznym nieruchomości oraz jej aktualnym sposobem zagospodarowania,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lastRenderedPageBreak/>
        <w:t xml:space="preserve">jej parametrami oraz możliwością zagospodarowania. Rozpoznanie wszystkich warunków fizycznych i prawnych, leży w całości po stronie nabywcy i stanowi obszar jego ryzyka. Sprzedający nie odpowiada za wady ukryte zbywanej nieruchomości, w tym także za nieujawniony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>w powiatowym zasobie geodezyjnym i kartograficznym przebieg podziemnych mediów. Nabywca przejmuje nieruchomoś</w:t>
      </w: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ć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 stanie istniejącym.</w:t>
      </w:r>
    </w:p>
    <w:p w14:paraId="0F46F91C" w14:textId="75CC9AB4" w:rsidR="00B540A2" w:rsidRPr="00B540A2" w:rsidRDefault="00B540A2" w:rsidP="00B540A2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</w:pPr>
      <w:r w:rsidRPr="00B540A2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>RODO</w:t>
      </w:r>
      <w:r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>.</w:t>
      </w:r>
    </w:p>
    <w:p w14:paraId="324485C0" w14:textId="0031BDB2" w:rsidR="00D30B2C" w:rsidRDefault="00D30B2C" w:rsidP="00B540A2">
      <w:pPr>
        <w:pStyle w:val="Akapitzlist"/>
        <w:spacing w:after="0"/>
        <w:ind w:left="0"/>
        <w:jc w:val="both"/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Udział w postępowaniu przetargowym wiąże się z przetwarzaniem danych osobowych oferentów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B96BF9"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Dz.U. UE. L 119 z 4.5.2016, str.1-88) oraz w</w:t>
      </w:r>
      <w:r w:rsidR="00054A2C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zakresie wynikającym z ustawy z dnia 21 sierpnia 1997 r. o gospodarce nieruchomościami (Dz.U.</w:t>
      </w:r>
      <w:r w:rsidR="00054A2C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z 2024 r., poz. 1145 ze zm.) oraz rozporządzenia Rady Ministrów z dnia 14 września 2004 r. w</w:t>
      </w:r>
      <w:r w:rsidR="00054A2C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sprawie sposobu i trybu przeprowadzania przetargów oraz rokowań na zbycie nieruchomości (Dz.U. z 2021 r., poz. 2213).</w:t>
      </w:r>
    </w:p>
    <w:p w14:paraId="12647D6B" w14:textId="61624F50" w:rsidR="00BB00C3" w:rsidRPr="00D745A0" w:rsidRDefault="00BB00C3" w:rsidP="0064281F">
      <w:pPr>
        <w:spacing w:after="120"/>
        <w:jc w:val="both"/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</w:pPr>
      <w:r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Administratorem danych osobowych jest Burmistrz Miasta Raciąża.</w:t>
      </w:r>
    </w:p>
    <w:p w14:paraId="1205E0E2" w14:textId="1B521112" w:rsidR="00EE1BE7" w:rsidRDefault="0064281F" w:rsidP="0064281F">
      <w:pPr>
        <w:pStyle w:val="Akapitzlist"/>
        <w:numPr>
          <w:ilvl w:val="0"/>
          <w:numId w:val="39"/>
        </w:numPr>
        <w:spacing w:after="0"/>
        <w:ind w:left="0"/>
        <w:jc w:val="both"/>
        <w:rPr>
          <w:rFonts w:ascii="Century Gothic" w:hAnsi="Century Gothic" w:cs="Times New Roman"/>
          <w:sz w:val="20"/>
          <w:szCs w:val="20"/>
          <w:lang w:val="pl-PL"/>
        </w:rPr>
      </w:pPr>
      <w:r w:rsidRPr="0064281F">
        <w:rPr>
          <w:rFonts w:ascii="Century Gothic" w:hAnsi="Century Gothic" w:cs="Times New Roman"/>
          <w:b/>
          <w:bCs/>
          <w:sz w:val="20"/>
          <w:szCs w:val="20"/>
          <w:lang w:val="pl-PL"/>
        </w:rPr>
        <w:t>Załącznik:</w:t>
      </w:r>
      <w:r>
        <w:rPr>
          <w:rFonts w:ascii="Century Gothic" w:hAnsi="Century Gothic" w:cs="Times New Roman"/>
          <w:sz w:val="20"/>
          <w:szCs w:val="20"/>
          <w:lang w:val="pl-PL"/>
        </w:rPr>
        <w:t xml:space="preserve"> druk </w:t>
      </w:r>
      <w:r w:rsidRPr="0064281F">
        <w:rPr>
          <w:rFonts w:ascii="Century Gothic" w:hAnsi="Century Gothic" w:cs="Times New Roman"/>
          <w:sz w:val="20"/>
          <w:szCs w:val="20"/>
          <w:lang w:val="pl-PL"/>
        </w:rPr>
        <w:t>zgłoszeni</w:t>
      </w:r>
      <w:r>
        <w:rPr>
          <w:rFonts w:ascii="Century Gothic" w:hAnsi="Century Gothic" w:cs="Times New Roman"/>
          <w:sz w:val="20"/>
          <w:szCs w:val="20"/>
          <w:lang w:val="pl-PL"/>
        </w:rPr>
        <w:t>a</w:t>
      </w:r>
      <w:r w:rsidRPr="0064281F">
        <w:rPr>
          <w:rFonts w:ascii="Century Gothic" w:hAnsi="Century Gothic" w:cs="Times New Roman"/>
          <w:sz w:val="20"/>
          <w:szCs w:val="20"/>
          <w:lang w:val="pl-PL"/>
        </w:rPr>
        <w:t xml:space="preserve"> uczestnictwa w przetargu ustnym ograniczonym</w:t>
      </w:r>
    </w:p>
    <w:p w14:paraId="7554DF90" w14:textId="49DD49A4" w:rsidR="00222D4C" w:rsidRDefault="00222D4C" w:rsidP="0064281F">
      <w:pPr>
        <w:spacing w:before="960" w:after="0"/>
        <w:ind w:left="6480"/>
        <w:jc w:val="center"/>
        <w:rPr>
          <w:rFonts w:ascii="Century Gothic" w:hAnsi="Century Gothic" w:cs="Times New Roman"/>
          <w:sz w:val="20"/>
          <w:szCs w:val="20"/>
          <w:lang w:val="pl-PL"/>
        </w:rPr>
      </w:pPr>
      <w:r>
        <w:rPr>
          <w:rFonts w:ascii="Century Gothic" w:hAnsi="Century Gothic" w:cs="Times New Roman"/>
          <w:sz w:val="20"/>
          <w:szCs w:val="20"/>
          <w:lang w:val="pl-PL"/>
        </w:rPr>
        <w:t>wz. Burmistrza</w:t>
      </w:r>
    </w:p>
    <w:p w14:paraId="009A6B40" w14:textId="687B67FE" w:rsidR="00222D4C" w:rsidRDefault="00222D4C" w:rsidP="00222D4C">
      <w:pPr>
        <w:spacing w:after="0"/>
        <w:ind w:left="6480"/>
        <w:jc w:val="center"/>
        <w:rPr>
          <w:rFonts w:ascii="Century Gothic" w:hAnsi="Century Gothic" w:cs="Times New Roman"/>
          <w:sz w:val="20"/>
          <w:szCs w:val="20"/>
          <w:lang w:val="pl-PL"/>
        </w:rPr>
      </w:pPr>
      <w:r>
        <w:rPr>
          <w:rFonts w:ascii="Century Gothic" w:hAnsi="Century Gothic" w:cs="Times New Roman"/>
          <w:sz w:val="20"/>
          <w:szCs w:val="20"/>
          <w:lang w:val="pl-PL"/>
        </w:rPr>
        <w:t>/-/ Paweł Różycki</w:t>
      </w:r>
    </w:p>
    <w:p w14:paraId="090A01E6" w14:textId="3D15BDC1" w:rsidR="00222D4C" w:rsidRPr="00222D4C" w:rsidRDefault="00222D4C" w:rsidP="00222D4C">
      <w:pPr>
        <w:spacing w:after="0"/>
        <w:ind w:left="6480"/>
        <w:jc w:val="center"/>
        <w:rPr>
          <w:rFonts w:ascii="Century Gothic" w:hAnsi="Century Gothic" w:cs="Times New Roman"/>
          <w:sz w:val="20"/>
          <w:szCs w:val="20"/>
          <w:lang w:val="pl-PL"/>
        </w:rPr>
      </w:pPr>
      <w:r>
        <w:rPr>
          <w:rFonts w:ascii="Century Gothic" w:hAnsi="Century Gothic" w:cs="Times New Roman"/>
          <w:sz w:val="20"/>
          <w:szCs w:val="20"/>
          <w:lang w:val="pl-PL"/>
        </w:rPr>
        <w:t>Zastępca Burmistrza</w:t>
      </w:r>
    </w:p>
    <w:sectPr w:rsidR="00222D4C" w:rsidRPr="00222D4C" w:rsidSect="00D745A0">
      <w:headerReference w:type="default" r:id="rId8"/>
      <w:headerReference w:type="first" r:id="rId9"/>
      <w:pgSz w:w="12240" w:h="15840"/>
      <w:pgMar w:top="1276" w:right="1417" w:bottom="568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E8D7" w14:textId="77777777" w:rsidR="00A574C2" w:rsidRDefault="00A574C2" w:rsidP="00BE70AF">
      <w:pPr>
        <w:spacing w:after="0" w:line="240" w:lineRule="auto"/>
      </w:pPr>
      <w:r>
        <w:separator/>
      </w:r>
    </w:p>
  </w:endnote>
  <w:endnote w:type="continuationSeparator" w:id="0">
    <w:p w14:paraId="5DAD0A07" w14:textId="77777777" w:rsidR="00A574C2" w:rsidRDefault="00A574C2" w:rsidP="00B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6F42" w14:textId="77777777" w:rsidR="00A574C2" w:rsidRDefault="00A574C2" w:rsidP="00BE70AF">
      <w:pPr>
        <w:spacing w:after="0" w:line="240" w:lineRule="auto"/>
      </w:pPr>
      <w:r>
        <w:separator/>
      </w:r>
    </w:p>
  </w:footnote>
  <w:footnote w:type="continuationSeparator" w:id="0">
    <w:p w14:paraId="391414E5" w14:textId="77777777" w:rsidR="00A574C2" w:rsidRDefault="00A574C2" w:rsidP="00BE70AF">
      <w:pPr>
        <w:spacing w:after="0" w:line="240" w:lineRule="auto"/>
      </w:pPr>
      <w:r>
        <w:continuationSeparator/>
      </w:r>
    </w:p>
  </w:footnote>
  <w:footnote w:id="1">
    <w:p w14:paraId="4B3A830F" w14:textId="77777777" w:rsidR="00BE70AF" w:rsidRPr="002E7B71" w:rsidRDefault="00BE70AF" w:rsidP="00BE70AF">
      <w:pPr>
        <w:pStyle w:val="Tekstprzypisudolnego"/>
        <w:rPr>
          <w:rStyle w:val="Odwoanieprzypisudolnego"/>
          <w:rFonts w:ascii="Century Gothic" w:hAnsi="Century Gothic"/>
          <w:lang w:val="pl-PL"/>
        </w:rPr>
      </w:pPr>
      <w:r w:rsidRPr="002E7B71">
        <w:rPr>
          <w:rStyle w:val="Odwoanieprzypisudolnego"/>
          <w:rFonts w:ascii="Century Gothic" w:hAnsi="Century Gothic"/>
          <w:lang w:val="pl-PL"/>
        </w:rPr>
        <w:footnoteRef/>
      </w:r>
      <w:r w:rsidRPr="002E7B71">
        <w:rPr>
          <w:rStyle w:val="Odwoanieprzypisudolnego"/>
          <w:rFonts w:ascii="Century Gothic" w:hAnsi="Century Gothic"/>
          <w:lang w:val="pl-PL"/>
        </w:rPr>
        <w:t>Cena zawiera podatek Vat w wysokości 23%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1CC8" w14:textId="3738C486" w:rsidR="00BE70AF" w:rsidRPr="00D745A0" w:rsidRDefault="00BE70AF" w:rsidP="00D745A0">
    <w:pPr>
      <w:pStyle w:val="Nagwek"/>
    </w:pPr>
    <w:bookmarkStart w:id="5" w:name="_Hlk179804319"/>
    <w:bookmarkStart w:id="6" w:name="_Hlk179804320"/>
  </w:p>
  <w:bookmarkEnd w:id="5"/>
  <w:bookmarkEnd w:id="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1808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Urząd Miejski w Raciążu</w:t>
    </w:r>
  </w:p>
  <w:p w14:paraId="581EAC18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pl. Adama Mickiewicza 17</w:t>
    </w:r>
  </w:p>
  <w:p w14:paraId="2BBCEF9C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09 – 140 Raciąż</w:t>
    </w:r>
  </w:p>
  <w:p w14:paraId="0A40F3D0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 xml:space="preserve">tel. 23 683 48 50 </w:t>
    </w:r>
  </w:p>
  <w:p w14:paraId="78D6389E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sekretariat@miastoraciaz.pl</w:t>
    </w:r>
  </w:p>
  <w:p w14:paraId="4D46FF3B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hyperlink r:id="rId1" w:history="1">
      <w:r w:rsidRPr="00BB00C3">
        <w:rPr>
          <w:rStyle w:val="Hipercze"/>
          <w:rFonts w:ascii="Century Gothic" w:hAnsi="Century Gothic" w:cs="Times New Roman"/>
          <w:sz w:val="20"/>
          <w:szCs w:val="20"/>
          <w:lang w:val="pl-PL"/>
        </w:rPr>
        <w:t>www.miastoraciaz.pl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4701"/>
        </w:tabs>
        <w:ind w:left="4701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16F3A"/>
    <w:multiLevelType w:val="hybridMultilevel"/>
    <w:tmpl w:val="C4265E36"/>
    <w:lvl w:ilvl="0" w:tplc="D0B2B5D0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72F3E8D"/>
    <w:multiLevelType w:val="hybridMultilevel"/>
    <w:tmpl w:val="6C6E1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A673C"/>
    <w:multiLevelType w:val="hybridMultilevel"/>
    <w:tmpl w:val="743EF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010"/>
    <w:multiLevelType w:val="hybridMultilevel"/>
    <w:tmpl w:val="B55055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D0378"/>
    <w:multiLevelType w:val="hybridMultilevel"/>
    <w:tmpl w:val="B48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1633F"/>
    <w:multiLevelType w:val="hybridMultilevel"/>
    <w:tmpl w:val="B812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95D"/>
    <w:multiLevelType w:val="hybridMultilevel"/>
    <w:tmpl w:val="7C006CB6"/>
    <w:lvl w:ilvl="0" w:tplc="D02243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407B46"/>
    <w:multiLevelType w:val="hybridMultilevel"/>
    <w:tmpl w:val="82F0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15D6D"/>
    <w:multiLevelType w:val="hybridMultilevel"/>
    <w:tmpl w:val="D2C459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90973D7"/>
    <w:multiLevelType w:val="hybridMultilevel"/>
    <w:tmpl w:val="EBE2BC42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9" w15:restartNumberingAfterBreak="0">
    <w:nsid w:val="2B4E0CEF"/>
    <w:multiLevelType w:val="hybridMultilevel"/>
    <w:tmpl w:val="AC28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22E9"/>
    <w:multiLevelType w:val="hybridMultilevel"/>
    <w:tmpl w:val="DDB4C0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4519BF"/>
    <w:multiLevelType w:val="hybridMultilevel"/>
    <w:tmpl w:val="6CEE4C18"/>
    <w:lvl w:ilvl="0" w:tplc="CDACBD3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838C5"/>
    <w:multiLevelType w:val="hybridMultilevel"/>
    <w:tmpl w:val="79181D92"/>
    <w:lvl w:ilvl="0" w:tplc="DD92BFC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F1E92"/>
    <w:multiLevelType w:val="hybridMultilevel"/>
    <w:tmpl w:val="7EBE9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F292B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96731"/>
    <w:multiLevelType w:val="hybridMultilevel"/>
    <w:tmpl w:val="28604118"/>
    <w:lvl w:ilvl="0" w:tplc="D3528A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0D26982"/>
    <w:multiLevelType w:val="hybridMultilevel"/>
    <w:tmpl w:val="CDFC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A32"/>
    <w:multiLevelType w:val="hybridMultilevel"/>
    <w:tmpl w:val="51885E54"/>
    <w:lvl w:ilvl="0" w:tplc="82C08BE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0D6239"/>
    <w:multiLevelType w:val="hybridMultilevel"/>
    <w:tmpl w:val="66E82DF4"/>
    <w:lvl w:ilvl="0" w:tplc="491E60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13FFC"/>
    <w:multiLevelType w:val="hybridMultilevel"/>
    <w:tmpl w:val="AB08D2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81009A"/>
    <w:multiLevelType w:val="hybridMultilevel"/>
    <w:tmpl w:val="22988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06BB9"/>
    <w:multiLevelType w:val="hybridMultilevel"/>
    <w:tmpl w:val="E638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B6478"/>
    <w:multiLevelType w:val="hybridMultilevel"/>
    <w:tmpl w:val="4A7E2E1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9B369FC"/>
    <w:multiLevelType w:val="hybridMultilevel"/>
    <w:tmpl w:val="73A629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42430F"/>
    <w:multiLevelType w:val="hybridMultilevel"/>
    <w:tmpl w:val="B0065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4B5F06"/>
    <w:multiLevelType w:val="hybridMultilevel"/>
    <w:tmpl w:val="68B0C622"/>
    <w:lvl w:ilvl="0" w:tplc="D0028F5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B07109"/>
    <w:multiLevelType w:val="hybridMultilevel"/>
    <w:tmpl w:val="4E1C1F50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17A38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621A2"/>
    <w:multiLevelType w:val="hybridMultilevel"/>
    <w:tmpl w:val="487E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92652"/>
    <w:multiLevelType w:val="hybridMultilevel"/>
    <w:tmpl w:val="90D239F0"/>
    <w:lvl w:ilvl="0" w:tplc="82465E4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1705">
    <w:abstractNumId w:val="8"/>
  </w:num>
  <w:num w:numId="2" w16cid:durableId="2018458739">
    <w:abstractNumId w:val="6"/>
  </w:num>
  <w:num w:numId="3" w16cid:durableId="1116676224">
    <w:abstractNumId w:val="5"/>
  </w:num>
  <w:num w:numId="4" w16cid:durableId="357393712">
    <w:abstractNumId w:val="4"/>
  </w:num>
  <w:num w:numId="5" w16cid:durableId="288439400">
    <w:abstractNumId w:val="7"/>
  </w:num>
  <w:num w:numId="6" w16cid:durableId="686444006">
    <w:abstractNumId w:val="3"/>
  </w:num>
  <w:num w:numId="7" w16cid:durableId="249967582">
    <w:abstractNumId w:val="2"/>
  </w:num>
  <w:num w:numId="8" w16cid:durableId="844977300">
    <w:abstractNumId w:val="1"/>
  </w:num>
  <w:num w:numId="9" w16cid:durableId="612785008">
    <w:abstractNumId w:val="0"/>
  </w:num>
  <w:num w:numId="10" w16cid:durableId="216818199">
    <w:abstractNumId w:val="31"/>
  </w:num>
  <w:num w:numId="11" w16cid:durableId="1418483553">
    <w:abstractNumId w:val="14"/>
  </w:num>
  <w:num w:numId="12" w16cid:durableId="1586331314">
    <w:abstractNumId w:val="16"/>
  </w:num>
  <w:num w:numId="13" w16cid:durableId="965310080">
    <w:abstractNumId w:val="33"/>
  </w:num>
  <w:num w:numId="14" w16cid:durableId="757867382">
    <w:abstractNumId w:val="17"/>
  </w:num>
  <w:num w:numId="15" w16cid:durableId="544680681">
    <w:abstractNumId w:val="38"/>
  </w:num>
  <w:num w:numId="16" w16cid:durableId="918054944">
    <w:abstractNumId w:val="13"/>
  </w:num>
  <w:num w:numId="17" w16cid:durableId="596521514">
    <w:abstractNumId w:val="10"/>
  </w:num>
  <w:num w:numId="18" w16cid:durableId="769087494">
    <w:abstractNumId w:val="12"/>
  </w:num>
  <w:num w:numId="19" w16cid:durableId="217018448">
    <w:abstractNumId w:val="24"/>
  </w:num>
  <w:num w:numId="20" w16cid:durableId="1985500142">
    <w:abstractNumId w:val="37"/>
  </w:num>
  <w:num w:numId="21" w16cid:durableId="751858988">
    <w:abstractNumId w:val="23"/>
  </w:num>
  <w:num w:numId="22" w16cid:durableId="1728458202">
    <w:abstractNumId w:val="29"/>
  </w:num>
  <w:num w:numId="23" w16cid:durableId="575475241">
    <w:abstractNumId w:val="15"/>
  </w:num>
  <w:num w:numId="24" w16cid:durableId="2020354455">
    <w:abstractNumId w:val="39"/>
  </w:num>
  <w:num w:numId="25" w16cid:durableId="860318791">
    <w:abstractNumId w:val="27"/>
  </w:num>
  <w:num w:numId="26" w16cid:durableId="1039547975">
    <w:abstractNumId w:val="25"/>
  </w:num>
  <w:num w:numId="27" w16cid:durableId="1461453896">
    <w:abstractNumId w:val="35"/>
  </w:num>
  <w:num w:numId="28" w16cid:durableId="1829177187">
    <w:abstractNumId w:val="9"/>
  </w:num>
  <w:num w:numId="29" w16cid:durableId="294222187">
    <w:abstractNumId w:val="32"/>
  </w:num>
  <w:num w:numId="30" w16cid:durableId="942373296">
    <w:abstractNumId w:val="18"/>
  </w:num>
  <w:num w:numId="31" w16cid:durableId="11230124">
    <w:abstractNumId w:val="11"/>
  </w:num>
  <w:num w:numId="32" w16cid:durableId="860052142">
    <w:abstractNumId w:val="20"/>
  </w:num>
  <w:num w:numId="33" w16cid:durableId="1012537750">
    <w:abstractNumId w:val="34"/>
  </w:num>
  <w:num w:numId="34" w16cid:durableId="208617803">
    <w:abstractNumId w:val="19"/>
  </w:num>
  <w:num w:numId="35" w16cid:durableId="1266645495">
    <w:abstractNumId w:val="26"/>
  </w:num>
  <w:num w:numId="36" w16cid:durableId="374157862">
    <w:abstractNumId w:val="21"/>
  </w:num>
  <w:num w:numId="37" w16cid:durableId="419103119">
    <w:abstractNumId w:val="22"/>
  </w:num>
  <w:num w:numId="38" w16cid:durableId="282462074">
    <w:abstractNumId w:val="30"/>
  </w:num>
  <w:num w:numId="39" w16cid:durableId="1934122782">
    <w:abstractNumId w:val="28"/>
  </w:num>
  <w:num w:numId="40" w16cid:durableId="18398104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77"/>
    <w:rsid w:val="00006E70"/>
    <w:rsid w:val="000070B9"/>
    <w:rsid w:val="000112CF"/>
    <w:rsid w:val="00027781"/>
    <w:rsid w:val="00034616"/>
    <w:rsid w:val="00054A2C"/>
    <w:rsid w:val="0006063C"/>
    <w:rsid w:val="000629C1"/>
    <w:rsid w:val="00064303"/>
    <w:rsid w:val="00074173"/>
    <w:rsid w:val="000777A9"/>
    <w:rsid w:val="00080A54"/>
    <w:rsid w:val="00087817"/>
    <w:rsid w:val="00087CD7"/>
    <w:rsid w:val="00090B73"/>
    <w:rsid w:val="0009590D"/>
    <w:rsid w:val="000A3D9F"/>
    <w:rsid w:val="000A4368"/>
    <w:rsid w:val="000C0DA8"/>
    <w:rsid w:val="000D134B"/>
    <w:rsid w:val="000E22D0"/>
    <w:rsid w:val="000F1293"/>
    <w:rsid w:val="000F6A44"/>
    <w:rsid w:val="001017AA"/>
    <w:rsid w:val="00123889"/>
    <w:rsid w:val="001454BF"/>
    <w:rsid w:val="0015074B"/>
    <w:rsid w:val="00161C27"/>
    <w:rsid w:val="001816EC"/>
    <w:rsid w:val="001820CB"/>
    <w:rsid w:val="0018237A"/>
    <w:rsid w:val="001B0468"/>
    <w:rsid w:val="001C49BF"/>
    <w:rsid w:val="001E3A3D"/>
    <w:rsid w:val="002018C8"/>
    <w:rsid w:val="002023CD"/>
    <w:rsid w:val="00214689"/>
    <w:rsid w:val="00222D4C"/>
    <w:rsid w:val="00240D9C"/>
    <w:rsid w:val="0025313A"/>
    <w:rsid w:val="00267D89"/>
    <w:rsid w:val="00273D41"/>
    <w:rsid w:val="00274589"/>
    <w:rsid w:val="00282C87"/>
    <w:rsid w:val="00291B24"/>
    <w:rsid w:val="0029639D"/>
    <w:rsid w:val="002A1A3E"/>
    <w:rsid w:val="002A7EC8"/>
    <w:rsid w:val="002B3B9F"/>
    <w:rsid w:val="002C27E3"/>
    <w:rsid w:val="002C3AB6"/>
    <w:rsid w:val="002C4F8B"/>
    <w:rsid w:val="002E1E33"/>
    <w:rsid w:val="002E335F"/>
    <w:rsid w:val="002E7B71"/>
    <w:rsid w:val="003068AE"/>
    <w:rsid w:val="00323D42"/>
    <w:rsid w:val="00326F90"/>
    <w:rsid w:val="00337E94"/>
    <w:rsid w:val="00341C4A"/>
    <w:rsid w:val="0036010A"/>
    <w:rsid w:val="0036059F"/>
    <w:rsid w:val="003611DC"/>
    <w:rsid w:val="00375F73"/>
    <w:rsid w:val="00383879"/>
    <w:rsid w:val="00383B0E"/>
    <w:rsid w:val="003914F6"/>
    <w:rsid w:val="00395283"/>
    <w:rsid w:val="00397970"/>
    <w:rsid w:val="003A09A6"/>
    <w:rsid w:val="003A14FC"/>
    <w:rsid w:val="003B75F3"/>
    <w:rsid w:val="003C22A2"/>
    <w:rsid w:val="003D3424"/>
    <w:rsid w:val="003E1C20"/>
    <w:rsid w:val="003E7FB6"/>
    <w:rsid w:val="003F61E3"/>
    <w:rsid w:val="00400C3B"/>
    <w:rsid w:val="00406209"/>
    <w:rsid w:val="004064BF"/>
    <w:rsid w:val="00406D1C"/>
    <w:rsid w:val="004178C4"/>
    <w:rsid w:val="004202E4"/>
    <w:rsid w:val="00422441"/>
    <w:rsid w:val="00422DA5"/>
    <w:rsid w:val="0042575F"/>
    <w:rsid w:val="004341F1"/>
    <w:rsid w:val="00482F37"/>
    <w:rsid w:val="0049311E"/>
    <w:rsid w:val="00493509"/>
    <w:rsid w:val="004A783E"/>
    <w:rsid w:val="004C1989"/>
    <w:rsid w:val="004C58FE"/>
    <w:rsid w:val="00520B22"/>
    <w:rsid w:val="00527590"/>
    <w:rsid w:val="00542AF6"/>
    <w:rsid w:val="005638F3"/>
    <w:rsid w:val="00565D4D"/>
    <w:rsid w:val="00566936"/>
    <w:rsid w:val="00573D9F"/>
    <w:rsid w:val="0057719F"/>
    <w:rsid w:val="00577C23"/>
    <w:rsid w:val="00594573"/>
    <w:rsid w:val="00595351"/>
    <w:rsid w:val="005A6E97"/>
    <w:rsid w:val="005B22B3"/>
    <w:rsid w:val="005B2495"/>
    <w:rsid w:val="005B5024"/>
    <w:rsid w:val="005C4B7E"/>
    <w:rsid w:val="005C6785"/>
    <w:rsid w:val="005D6C99"/>
    <w:rsid w:val="00600025"/>
    <w:rsid w:val="006104D5"/>
    <w:rsid w:val="006175B6"/>
    <w:rsid w:val="00631FCC"/>
    <w:rsid w:val="00633AAD"/>
    <w:rsid w:val="0064281F"/>
    <w:rsid w:val="00646B56"/>
    <w:rsid w:val="00657160"/>
    <w:rsid w:val="00660DF4"/>
    <w:rsid w:val="00667B8D"/>
    <w:rsid w:val="00680A3A"/>
    <w:rsid w:val="006836E7"/>
    <w:rsid w:val="00683948"/>
    <w:rsid w:val="006918BA"/>
    <w:rsid w:val="00695C88"/>
    <w:rsid w:val="006A0FB9"/>
    <w:rsid w:val="006A1706"/>
    <w:rsid w:val="006A3E1A"/>
    <w:rsid w:val="006B6F3E"/>
    <w:rsid w:val="006C57FD"/>
    <w:rsid w:val="006D5596"/>
    <w:rsid w:val="006D7AA9"/>
    <w:rsid w:val="006F2B3D"/>
    <w:rsid w:val="00724E41"/>
    <w:rsid w:val="007268BD"/>
    <w:rsid w:val="007334C8"/>
    <w:rsid w:val="007468EF"/>
    <w:rsid w:val="00751A44"/>
    <w:rsid w:val="00760953"/>
    <w:rsid w:val="00760A7A"/>
    <w:rsid w:val="007653FF"/>
    <w:rsid w:val="00771521"/>
    <w:rsid w:val="00772E0E"/>
    <w:rsid w:val="00777AB6"/>
    <w:rsid w:val="007B2B44"/>
    <w:rsid w:val="007B75DD"/>
    <w:rsid w:val="007D3C73"/>
    <w:rsid w:val="007D4FF6"/>
    <w:rsid w:val="007D7464"/>
    <w:rsid w:val="007E77BC"/>
    <w:rsid w:val="007E7F1B"/>
    <w:rsid w:val="007F2067"/>
    <w:rsid w:val="007F2EE5"/>
    <w:rsid w:val="00805693"/>
    <w:rsid w:val="008076CC"/>
    <w:rsid w:val="00813377"/>
    <w:rsid w:val="00817F3F"/>
    <w:rsid w:val="00820B75"/>
    <w:rsid w:val="0082420D"/>
    <w:rsid w:val="00832FB1"/>
    <w:rsid w:val="008378AF"/>
    <w:rsid w:val="00861F2A"/>
    <w:rsid w:val="00861FA8"/>
    <w:rsid w:val="0086324B"/>
    <w:rsid w:val="008649DF"/>
    <w:rsid w:val="0089179F"/>
    <w:rsid w:val="008A07AB"/>
    <w:rsid w:val="008A1389"/>
    <w:rsid w:val="008B70CA"/>
    <w:rsid w:val="008C2441"/>
    <w:rsid w:val="008E2CD9"/>
    <w:rsid w:val="008F0407"/>
    <w:rsid w:val="008F121C"/>
    <w:rsid w:val="008F4AE8"/>
    <w:rsid w:val="009122DB"/>
    <w:rsid w:val="009125A8"/>
    <w:rsid w:val="00917122"/>
    <w:rsid w:val="00921D54"/>
    <w:rsid w:val="00926D42"/>
    <w:rsid w:val="00932F1B"/>
    <w:rsid w:val="00936F74"/>
    <w:rsid w:val="00937D78"/>
    <w:rsid w:val="009427EC"/>
    <w:rsid w:val="00943E78"/>
    <w:rsid w:val="009561EC"/>
    <w:rsid w:val="009740C4"/>
    <w:rsid w:val="009871B4"/>
    <w:rsid w:val="0099179C"/>
    <w:rsid w:val="009B2E65"/>
    <w:rsid w:val="00A07072"/>
    <w:rsid w:val="00A16A96"/>
    <w:rsid w:val="00A1772E"/>
    <w:rsid w:val="00A23CB2"/>
    <w:rsid w:val="00A31915"/>
    <w:rsid w:val="00A35CA1"/>
    <w:rsid w:val="00A41D3B"/>
    <w:rsid w:val="00A43F2B"/>
    <w:rsid w:val="00A4618C"/>
    <w:rsid w:val="00A46DC1"/>
    <w:rsid w:val="00A47FD2"/>
    <w:rsid w:val="00A51C21"/>
    <w:rsid w:val="00A51E6F"/>
    <w:rsid w:val="00A5410F"/>
    <w:rsid w:val="00A574C2"/>
    <w:rsid w:val="00A609FB"/>
    <w:rsid w:val="00A6539F"/>
    <w:rsid w:val="00A70403"/>
    <w:rsid w:val="00A815E1"/>
    <w:rsid w:val="00A9264F"/>
    <w:rsid w:val="00AA1D8D"/>
    <w:rsid w:val="00AA2C39"/>
    <w:rsid w:val="00AB3D7C"/>
    <w:rsid w:val="00AC4289"/>
    <w:rsid w:val="00AD264A"/>
    <w:rsid w:val="00AE1EEF"/>
    <w:rsid w:val="00AF02CC"/>
    <w:rsid w:val="00AF20F2"/>
    <w:rsid w:val="00AF418A"/>
    <w:rsid w:val="00B02024"/>
    <w:rsid w:val="00B07DE5"/>
    <w:rsid w:val="00B133C5"/>
    <w:rsid w:val="00B16975"/>
    <w:rsid w:val="00B23440"/>
    <w:rsid w:val="00B273C9"/>
    <w:rsid w:val="00B47730"/>
    <w:rsid w:val="00B51B21"/>
    <w:rsid w:val="00B540A2"/>
    <w:rsid w:val="00B56D3E"/>
    <w:rsid w:val="00B60E7D"/>
    <w:rsid w:val="00B86C5D"/>
    <w:rsid w:val="00B94E24"/>
    <w:rsid w:val="00B9631C"/>
    <w:rsid w:val="00B96BF9"/>
    <w:rsid w:val="00BA6C19"/>
    <w:rsid w:val="00BB00C3"/>
    <w:rsid w:val="00BD0CD2"/>
    <w:rsid w:val="00BE5489"/>
    <w:rsid w:val="00BE70AF"/>
    <w:rsid w:val="00BE71C3"/>
    <w:rsid w:val="00BF5383"/>
    <w:rsid w:val="00C00665"/>
    <w:rsid w:val="00C10068"/>
    <w:rsid w:val="00C12CD1"/>
    <w:rsid w:val="00C2451C"/>
    <w:rsid w:val="00C27F2C"/>
    <w:rsid w:val="00C30FB5"/>
    <w:rsid w:val="00C34024"/>
    <w:rsid w:val="00C34805"/>
    <w:rsid w:val="00C47E8D"/>
    <w:rsid w:val="00C76076"/>
    <w:rsid w:val="00C860A8"/>
    <w:rsid w:val="00CA0654"/>
    <w:rsid w:val="00CB0664"/>
    <w:rsid w:val="00CB0F5F"/>
    <w:rsid w:val="00CB725C"/>
    <w:rsid w:val="00CC5F35"/>
    <w:rsid w:val="00CD05B0"/>
    <w:rsid w:val="00CD6593"/>
    <w:rsid w:val="00CF7DE3"/>
    <w:rsid w:val="00D06A84"/>
    <w:rsid w:val="00D16322"/>
    <w:rsid w:val="00D30B2C"/>
    <w:rsid w:val="00D34B6E"/>
    <w:rsid w:val="00D35296"/>
    <w:rsid w:val="00D42D48"/>
    <w:rsid w:val="00D44C39"/>
    <w:rsid w:val="00D45FA5"/>
    <w:rsid w:val="00D72DB3"/>
    <w:rsid w:val="00D745A0"/>
    <w:rsid w:val="00D926F2"/>
    <w:rsid w:val="00DA3668"/>
    <w:rsid w:val="00DB508A"/>
    <w:rsid w:val="00DC748D"/>
    <w:rsid w:val="00DF2EF8"/>
    <w:rsid w:val="00DF4C14"/>
    <w:rsid w:val="00E0049E"/>
    <w:rsid w:val="00E35773"/>
    <w:rsid w:val="00E44F11"/>
    <w:rsid w:val="00E50BC8"/>
    <w:rsid w:val="00E521FF"/>
    <w:rsid w:val="00E5406E"/>
    <w:rsid w:val="00E54840"/>
    <w:rsid w:val="00E554C9"/>
    <w:rsid w:val="00E82AC1"/>
    <w:rsid w:val="00E86A69"/>
    <w:rsid w:val="00E9428D"/>
    <w:rsid w:val="00EA10AC"/>
    <w:rsid w:val="00EA5742"/>
    <w:rsid w:val="00EA7BCF"/>
    <w:rsid w:val="00EB08EF"/>
    <w:rsid w:val="00EB29F8"/>
    <w:rsid w:val="00EB5B73"/>
    <w:rsid w:val="00EC5338"/>
    <w:rsid w:val="00EC55BE"/>
    <w:rsid w:val="00EC6BF5"/>
    <w:rsid w:val="00ED2332"/>
    <w:rsid w:val="00ED28B2"/>
    <w:rsid w:val="00EE1B7C"/>
    <w:rsid w:val="00EE1BE7"/>
    <w:rsid w:val="00EE5227"/>
    <w:rsid w:val="00EF2466"/>
    <w:rsid w:val="00EF77B9"/>
    <w:rsid w:val="00F02AA9"/>
    <w:rsid w:val="00F073AE"/>
    <w:rsid w:val="00F3265A"/>
    <w:rsid w:val="00F3669E"/>
    <w:rsid w:val="00F55530"/>
    <w:rsid w:val="00F749CA"/>
    <w:rsid w:val="00F762EA"/>
    <w:rsid w:val="00F83660"/>
    <w:rsid w:val="00F9316F"/>
    <w:rsid w:val="00F96FF7"/>
    <w:rsid w:val="00FB2774"/>
    <w:rsid w:val="00FC5FF6"/>
    <w:rsid w:val="00FC693F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9E026"/>
  <w14:defaultImageDpi w14:val="300"/>
  <w15:docId w15:val="{73E32D53-F71B-4FEC-A83D-8FEF930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A17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7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adeinm1hgl8">
    <w:name w:val="_fadein_m1hgl_8"/>
    <w:basedOn w:val="Domylnaczcionkaakapitu"/>
    <w:rsid w:val="00CC5F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storacia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USTNY PRZETARG OGRANICZONY dot. sprzedaży działki nr ewid. 1128/2 w Raciążu</dc:title>
  <dc:subject/>
  <dc:creator>Iwona Stępniak-Ener</dc:creator>
  <cp:keywords/>
  <dc:description>generated by python-docx</dc:description>
  <cp:lastModifiedBy>Iwona Stępniak - Ener</cp:lastModifiedBy>
  <cp:revision>2</cp:revision>
  <cp:lastPrinted>2025-10-07T06:25:00Z</cp:lastPrinted>
  <dcterms:created xsi:type="dcterms:W3CDTF">2025-10-07T11:53:00Z</dcterms:created>
  <dcterms:modified xsi:type="dcterms:W3CDTF">2025-10-07T11:53:00Z</dcterms:modified>
  <cp:category/>
</cp:coreProperties>
</file>